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12BE7">
      <w:pPr>
        <w:pStyle w:val="15"/>
        <w:adjustRightInd w:val="0"/>
        <w:snapToGrid w:val="0"/>
        <w:spacing w:line="240" w:lineRule="atLeast"/>
        <w:jc w:val="center"/>
        <w:rPr>
          <w:rFonts w:hAnsi="宋体"/>
          <w:color w:val="auto"/>
        </w:rPr>
      </w:pPr>
    </w:p>
    <w:p w14:paraId="06889B7F">
      <w:pPr>
        <w:pStyle w:val="15"/>
        <w:adjustRightInd w:val="0"/>
        <w:snapToGrid w:val="0"/>
        <w:spacing w:line="240" w:lineRule="atLeast"/>
        <w:jc w:val="center"/>
        <w:rPr>
          <w:rFonts w:hAnsi="宋体"/>
          <w:color w:val="auto"/>
        </w:rPr>
      </w:pPr>
    </w:p>
    <w:p w14:paraId="525854BD">
      <w:pPr>
        <w:pStyle w:val="15"/>
        <w:adjustRightInd w:val="0"/>
        <w:snapToGrid w:val="0"/>
        <w:spacing w:line="240" w:lineRule="atLeast"/>
        <w:jc w:val="center"/>
        <w:rPr>
          <w:rFonts w:hAnsi="宋体"/>
          <w:color w:val="auto"/>
        </w:rPr>
      </w:pPr>
    </w:p>
    <w:p w14:paraId="594B1398">
      <w:pPr>
        <w:pStyle w:val="15"/>
        <w:adjustRightInd w:val="0"/>
        <w:snapToGrid w:val="0"/>
        <w:spacing w:line="240" w:lineRule="atLeast"/>
        <w:jc w:val="center"/>
        <w:rPr>
          <w:rFonts w:hAnsi="宋体"/>
          <w:color w:val="auto"/>
        </w:rPr>
      </w:pPr>
    </w:p>
    <w:p w14:paraId="66AF8200">
      <w:pPr>
        <w:pStyle w:val="15"/>
        <w:adjustRightInd w:val="0"/>
        <w:snapToGrid w:val="0"/>
        <w:spacing w:line="240" w:lineRule="atLeast"/>
        <w:jc w:val="center"/>
        <w:rPr>
          <w:rFonts w:hint="eastAsia" w:ascii="华文中宋" w:hAnsi="华文中宋" w:eastAsia="华文中宋"/>
          <w:bCs/>
          <w:color w:val="auto"/>
          <w:sz w:val="48"/>
          <w:szCs w:val="48"/>
          <w:lang w:eastAsia="zh-CN"/>
        </w:rPr>
      </w:pPr>
      <w:r>
        <w:rPr>
          <w:rFonts w:hint="eastAsia" w:ascii="华文中宋" w:hAnsi="华文中宋" w:eastAsia="华文中宋"/>
          <w:bCs/>
          <w:color w:val="auto"/>
          <w:sz w:val="48"/>
          <w:szCs w:val="48"/>
          <w:lang w:eastAsia="zh-CN"/>
        </w:rPr>
        <w:t>娄底市万宝新区开发投资集团有限公司</w:t>
      </w:r>
    </w:p>
    <w:p w14:paraId="7B57EF85">
      <w:pPr>
        <w:pStyle w:val="15"/>
        <w:adjustRightInd w:val="0"/>
        <w:snapToGrid w:val="0"/>
        <w:spacing w:line="240" w:lineRule="atLeast"/>
        <w:jc w:val="center"/>
        <w:rPr>
          <w:rFonts w:hint="eastAsia" w:ascii="华文中宋" w:hAnsi="华文中宋" w:eastAsia="华文中宋"/>
          <w:bCs/>
          <w:color w:val="auto"/>
          <w:sz w:val="48"/>
          <w:szCs w:val="48"/>
          <w:lang w:eastAsia="zh-CN"/>
        </w:rPr>
      </w:pPr>
    </w:p>
    <w:p w14:paraId="5C4349AB">
      <w:pPr>
        <w:pStyle w:val="15"/>
        <w:adjustRightInd w:val="0"/>
        <w:snapToGrid w:val="0"/>
        <w:spacing w:line="240" w:lineRule="atLeast"/>
        <w:jc w:val="center"/>
        <w:rPr>
          <w:rFonts w:hint="eastAsia" w:ascii="华文中宋" w:hAnsi="华文中宋" w:eastAsia="华文中宋"/>
          <w:bCs/>
          <w:color w:val="auto"/>
          <w:sz w:val="48"/>
          <w:szCs w:val="48"/>
          <w:lang w:eastAsia="zh-CN"/>
        </w:rPr>
      </w:pPr>
      <w:r>
        <w:rPr>
          <w:rFonts w:hint="eastAsia" w:ascii="华文中宋" w:hAnsi="华文中宋" w:eastAsia="华文中宋"/>
          <w:bCs/>
          <w:color w:val="auto"/>
          <w:sz w:val="48"/>
          <w:szCs w:val="48"/>
          <w:lang w:eastAsia="zh-CN"/>
        </w:rPr>
        <w:t>服务类项目询价比选文件范本</w:t>
      </w:r>
    </w:p>
    <w:p w14:paraId="40BDB0A3">
      <w:pPr>
        <w:pStyle w:val="15"/>
        <w:adjustRightInd w:val="0"/>
        <w:snapToGrid w:val="0"/>
        <w:spacing w:line="240" w:lineRule="atLeast"/>
        <w:jc w:val="both"/>
        <w:rPr>
          <w:rFonts w:ascii="华文中宋" w:hAnsi="华文中宋" w:eastAsia="华文中宋"/>
          <w:b/>
          <w:bCs/>
          <w:color w:val="auto"/>
          <w:sz w:val="44"/>
          <w:szCs w:val="44"/>
        </w:rPr>
      </w:pPr>
    </w:p>
    <w:p w14:paraId="0575230D">
      <w:pPr>
        <w:pStyle w:val="15"/>
        <w:adjustRightInd w:val="0"/>
        <w:snapToGrid w:val="0"/>
        <w:spacing w:line="240" w:lineRule="atLeast"/>
        <w:jc w:val="both"/>
        <w:rPr>
          <w:rFonts w:ascii="华文中宋" w:hAnsi="华文中宋" w:eastAsia="华文中宋"/>
          <w:b/>
          <w:bCs/>
          <w:color w:val="auto"/>
          <w:sz w:val="44"/>
          <w:szCs w:val="44"/>
        </w:rPr>
      </w:pPr>
    </w:p>
    <w:p w14:paraId="3C23F519">
      <w:pPr>
        <w:pStyle w:val="15"/>
        <w:adjustRightInd w:val="0"/>
        <w:snapToGrid w:val="0"/>
        <w:spacing w:line="240" w:lineRule="atLeast"/>
        <w:jc w:val="both"/>
        <w:rPr>
          <w:rFonts w:ascii="华文中宋" w:hAnsi="华文中宋" w:eastAsia="华文中宋"/>
          <w:b/>
          <w:bCs/>
          <w:color w:val="auto"/>
          <w:sz w:val="44"/>
          <w:szCs w:val="44"/>
        </w:rPr>
      </w:pPr>
    </w:p>
    <w:p w14:paraId="7209D010">
      <w:pPr>
        <w:pStyle w:val="15"/>
        <w:adjustRightInd w:val="0"/>
        <w:snapToGrid w:val="0"/>
        <w:spacing w:line="240" w:lineRule="atLeast"/>
        <w:jc w:val="both"/>
        <w:rPr>
          <w:rFonts w:ascii="华文中宋" w:hAnsi="华文中宋" w:eastAsia="华文中宋"/>
          <w:b/>
          <w:bCs/>
          <w:color w:val="auto"/>
          <w:sz w:val="44"/>
          <w:szCs w:val="44"/>
        </w:rPr>
      </w:pPr>
    </w:p>
    <w:p w14:paraId="2B72BF46">
      <w:pPr>
        <w:pStyle w:val="15"/>
        <w:adjustRightInd w:val="0"/>
        <w:snapToGrid w:val="0"/>
        <w:spacing w:line="240" w:lineRule="atLeast"/>
        <w:jc w:val="both"/>
        <w:rPr>
          <w:rFonts w:ascii="华文中宋" w:hAnsi="华文中宋" w:eastAsia="华文中宋"/>
          <w:b/>
          <w:bCs/>
          <w:color w:val="auto"/>
          <w:sz w:val="44"/>
          <w:szCs w:val="44"/>
        </w:rPr>
      </w:pPr>
    </w:p>
    <w:p w14:paraId="18E9EBD6">
      <w:pPr>
        <w:pStyle w:val="15"/>
        <w:adjustRightInd w:val="0"/>
        <w:snapToGrid w:val="0"/>
        <w:spacing w:line="240" w:lineRule="atLeast"/>
        <w:jc w:val="center"/>
        <w:rPr>
          <w:rFonts w:ascii="华文中宋" w:hAnsi="华文中宋" w:eastAsia="华文中宋"/>
          <w:bCs/>
          <w:color w:val="auto"/>
        </w:rPr>
      </w:pPr>
    </w:p>
    <w:p w14:paraId="71B284D6">
      <w:pPr>
        <w:adjustRightInd w:val="0"/>
        <w:snapToGrid w:val="0"/>
        <w:spacing w:line="360" w:lineRule="auto"/>
        <w:ind w:firstLine="1928" w:firstLineChars="800"/>
        <w:jc w:val="both"/>
        <w:rPr>
          <w:rFonts w:hint="eastAsia" w:hAnsi="宋体"/>
          <w:b/>
          <w:color w:val="auto"/>
          <w:sz w:val="24"/>
          <w:szCs w:val="24"/>
        </w:rPr>
      </w:pPr>
      <w:r>
        <w:rPr>
          <w:rFonts w:hint="eastAsia" w:hAnsi="宋体"/>
          <w:b/>
          <w:color w:val="auto"/>
          <w:sz w:val="24"/>
          <w:szCs w:val="24"/>
          <w:lang w:eastAsia="zh-CN"/>
        </w:rPr>
        <w:t>项目名称：</w:t>
      </w:r>
      <w:r>
        <w:rPr>
          <w:rFonts w:hint="eastAsia" w:hAnsi="宋体"/>
          <w:b/>
          <w:color w:val="auto"/>
          <w:sz w:val="24"/>
          <w:szCs w:val="24"/>
        </w:rPr>
        <w:t>娄底市万宝新区百亩安置基地二期(A地块)</w:t>
      </w:r>
    </w:p>
    <w:p w14:paraId="4ACD7DE0">
      <w:pPr>
        <w:adjustRightInd w:val="0"/>
        <w:snapToGrid w:val="0"/>
        <w:spacing w:line="360" w:lineRule="auto"/>
        <w:ind w:firstLine="1928" w:firstLineChars="800"/>
        <w:jc w:val="center"/>
        <w:rPr>
          <w:rFonts w:hint="eastAsia" w:hAnsi="宋体" w:eastAsia="宋体"/>
          <w:b/>
          <w:color w:val="auto"/>
          <w:sz w:val="24"/>
          <w:szCs w:val="24"/>
          <w:u w:val="single"/>
          <w:lang w:val="en-US" w:eastAsia="zh-CN"/>
        </w:rPr>
      </w:pPr>
      <w:r>
        <w:rPr>
          <w:rFonts w:hint="eastAsia" w:hAnsi="宋体"/>
          <w:b/>
          <w:color w:val="auto"/>
          <w:sz w:val="24"/>
          <w:szCs w:val="24"/>
        </w:rPr>
        <w:t>项目EPC工程总承包</w:t>
      </w:r>
      <w:r>
        <w:rPr>
          <w:rFonts w:hint="eastAsia" w:hAnsi="宋体"/>
          <w:b/>
          <w:color w:val="auto"/>
          <w:sz w:val="24"/>
          <w:szCs w:val="24"/>
          <w:lang w:eastAsia="zh-CN"/>
        </w:rPr>
        <w:t>监理服务</w:t>
      </w:r>
    </w:p>
    <w:p w14:paraId="2B9F733C">
      <w:pPr>
        <w:pStyle w:val="30"/>
        <w:rPr>
          <w:rFonts w:hint="eastAsia"/>
          <w:color w:val="auto"/>
          <w:sz w:val="21"/>
          <w:szCs w:val="21"/>
          <w:lang w:val="en-US" w:eastAsia="zh-CN"/>
        </w:rPr>
      </w:pPr>
    </w:p>
    <w:p w14:paraId="275FCA39">
      <w:pPr>
        <w:pStyle w:val="30"/>
        <w:rPr>
          <w:rFonts w:hint="eastAsia"/>
          <w:color w:val="auto"/>
          <w:sz w:val="21"/>
          <w:szCs w:val="21"/>
          <w:lang w:val="en-US" w:eastAsia="zh-CN"/>
        </w:rPr>
      </w:pPr>
    </w:p>
    <w:p w14:paraId="0A28BBA8">
      <w:pPr>
        <w:pStyle w:val="30"/>
        <w:ind w:left="0" w:leftChars="0" w:firstLine="0" w:firstLineChars="0"/>
        <w:rPr>
          <w:rFonts w:hint="eastAsia" w:hAnsi="宋体"/>
          <w:b/>
          <w:color w:val="auto"/>
          <w:sz w:val="24"/>
          <w:szCs w:val="24"/>
          <w:u w:val="single"/>
        </w:rPr>
      </w:pPr>
    </w:p>
    <w:p w14:paraId="695AD52B">
      <w:pPr>
        <w:adjustRightInd w:val="0"/>
        <w:snapToGrid w:val="0"/>
        <w:spacing w:line="360" w:lineRule="auto"/>
        <w:ind w:firstLine="2168" w:firstLineChars="900"/>
        <w:rPr>
          <w:rFonts w:hAnsi="宋体"/>
          <w:b/>
          <w:color w:val="auto"/>
          <w:sz w:val="24"/>
          <w:szCs w:val="24"/>
        </w:rPr>
      </w:pPr>
      <w:r>
        <w:rPr>
          <w:rFonts w:hint="eastAsia" w:hAnsi="宋体"/>
          <w:b/>
          <w:color w:val="auto"/>
          <w:sz w:val="24"/>
          <w:szCs w:val="24"/>
          <w:lang w:eastAsia="zh-CN"/>
        </w:rPr>
        <w:t>招</w:t>
      </w:r>
      <w:r>
        <w:rPr>
          <w:rFonts w:hint="eastAsia" w:hAnsi="宋体"/>
          <w:b/>
          <w:color w:val="auto"/>
          <w:sz w:val="24"/>
          <w:szCs w:val="24"/>
          <w:lang w:val="en-US" w:eastAsia="zh-CN"/>
        </w:rPr>
        <w:t xml:space="preserve"> </w:t>
      </w:r>
      <w:r>
        <w:rPr>
          <w:rFonts w:hint="eastAsia" w:hAnsi="宋体"/>
          <w:b/>
          <w:color w:val="auto"/>
          <w:sz w:val="24"/>
          <w:szCs w:val="24"/>
          <w:lang w:eastAsia="zh-CN"/>
        </w:rPr>
        <w:t>标</w:t>
      </w:r>
      <w:r>
        <w:rPr>
          <w:rFonts w:hint="eastAsia" w:hAnsi="宋体"/>
          <w:b/>
          <w:color w:val="auto"/>
          <w:sz w:val="24"/>
          <w:szCs w:val="24"/>
          <w:lang w:val="en-US" w:eastAsia="zh-CN"/>
        </w:rPr>
        <w:t xml:space="preserve"> </w:t>
      </w:r>
      <w:r>
        <w:rPr>
          <w:rFonts w:hint="eastAsia" w:hAnsi="宋体"/>
          <w:b/>
          <w:color w:val="auto"/>
          <w:sz w:val="24"/>
          <w:szCs w:val="24"/>
        </w:rPr>
        <w:t>人：娄底市华居建设有限公司</w:t>
      </w:r>
    </w:p>
    <w:p w14:paraId="424BFF77">
      <w:pPr>
        <w:adjustRightInd w:val="0"/>
        <w:snapToGrid w:val="0"/>
        <w:spacing w:line="360" w:lineRule="auto"/>
        <w:ind w:firstLine="843" w:firstLineChars="350"/>
        <w:rPr>
          <w:rFonts w:ascii="宋体"/>
          <w:b/>
          <w:color w:val="auto"/>
          <w:sz w:val="24"/>
          <w:szCs w:val="18"/>
        </w:rPr>
      </w:pPr>
    </w:p>
    <w:p w14:paraId="19DCA818">
      <w:pPr>
        <w:pStyle w:val="15"/>
        <w:adjustRightInd w:val="0"/>
        <w:snapToGrid w:val="0"/>
        <w:spacing w:line="360" w:lineRule="auto"/>
        <w:jc w:val="center"/>
        <w:rPr>
          <w:rFonts w:hAnsi="宋体"/>
          <w:bCs/>
          <w:color w:val="auto"/>
          <w:sz w:val="32"/>
          <w:szCs w:val="32"/>
        </w:rPr>
      </w:pPr>
    </w:p>
    <w:p w14:paraId="6F2D3114">
      <w:pPr>
        <w:pStyle w:val="15"/>
        <w:adjustRightInd w:val="0"/>
        <w:snapToGrid w:val="0"/>
        <w:spacing w:line="240" w:lineRule="atLeast"/>
        <w:jc w:val="center"/>
        <w:rPr>
          <w:rFonts w:hAnsi="宋体"/>
          <w:bCs/>
          <w:color w:val="auto"/>
          <w:sz w:val="32"/>
          <w:szCs w:val="32"/>
        </w:rPr>
      </w:pPr>
    </w:p>
    <w:p w14:paraId="4A2873D0">
      <w:pPr>
        <w:pStyle w:val="15"/>
        <w:adjustRightInd w:val="0"/>
        <w:snapToGrid w:val="0"/>
        <w:spacing w:line="240" w:lineRule="atLeast"/>
        <w:jc w:val="center"/>
        <w:rPr>
          <w:rFonts w:hAnsi="宋体"/>
          <w:bCs/>
          <w:color w:val="auto"/>
          <w:sz w:val="32"/>
          <w:szCs w:val="32"/>
        </w:rPr>
      </w:pPr>
    </w:p>
    <w:p w14:paraId="086D49D9">
      <w:pPr>
        <w:pStyle w:val="15"/>
        <w:adjustRightInd w:val="0"/>
        <w:snapToGrid w:val="0"/>
        <w:spacing w:line="240" w:lineRule="atLeast"/>
        <w:jc w:val="both"/>
        <w:rPr>
          <w:rFonts w:hAnsi="宋体"/>
          <w:bCs/>
          <w:color w:val="auto"/>
          <w:sz w:val="32"/>
          <w:szCs w:val="32"/>
        </w:rPr>
      </w:pPr>
    </w:p>
    <w:p w14:paraId="6CCBED38">
      <w:pPr>
        <w:pStyle w:val="15"/>
        <w:adjustRightInd w:val="0"/>
        <w:snapToGrid w:val="0"/>
        <w:spacing w:line="240" w:lineRule="atLeast"/>
        <w:jc w:val="center"/>
        <w:rPr>
          <w:rFonts w:hAnsi="宋体"/>
          <w:bCs/>
          <w:color w:val="auto"/>
          <w:sz w:val="32"/>
          <w:szCs w:val="32"/>
        </w:rPr>
      </w:pPr>
    </w:p>
    <w:p w14:paraId="7937B8E0">
      <w:pPr>
        <w:pStyle w:val="15"/>
        <w:adjustRightInd w:val="0"/>
        <w:snapToGrid w:val="0"/>
        <w:spacing w:line="240" w:lineRule="atLeast"/>
        <w:jc w:val="center"/>
        <w:rPr>
          <w:rFonts w:hAnsi="宋体"/>
          <w:bCs/>
          <w:color w:val="auto"/>
          <w:sz w:val="32"/>
          <w:szCs w:val="32"/>
        </w:rPr>
      </w:pPr>
    </w:p>
    <w:p w14:paraId="4DB1EB65">
      <w:pPr>
        <w:pStyle w:val="15"/>
        <w:adjustRightInd w:val="0"/>
        <w:snapToGrid w:val="0"/>
        <w:spacing w:line="240" w:lineRule="atLeast"/>
        <w:jc w:val="center"/>
        <w:rPr>
          <w:rFonts w:hAnsi="宋体"/>
          <w:bCs/>
          <w:color w:val="auto"/>
          <w:sz w:val="32"/>
          <w:szCs w:val="32"/>
        </w:rPr>
      </w:pPr>
    </w:p>
    <w:p w14:paraId="0C61FC94">
      <w:pPr>
        <w:pStyle w:val="15"/>
        <w:adjustRightInd w:val="0"/>
        <w:snapToGrid w:val="0"/>
        <w:spacing w:line="240" w:lineRule="atLeast"/>
        <w:jc w:val="center"/>
        <w:rPr>
          <w:rFonts w:hAnsi="宋体"/>
          <w:b/>
          <w:bCs/>
          <w:color w:val="auto"/>
          <w:sz w:val="32"/>
          <w:szCs w:val="32"/>
        </w:rPr>
      </w:pPr>
      <w:r>
        <w:rPr>
          <w:rFonts w:hint="eastAsia" w:hAnsi="宋体"/>
          <w:b/>
          <w:color w:val="auto"/>
          <w:sz w:val="32"/>
          <w:lang w:val="en-US" w:eastAsia="zh-CN"/>
        </w:rPr>
        <w:t>2025</w:t>
      </w:r>
      <w:r>
        <w:rPr>
          <w:rFonts w:hint="eastAsia" w:hAnsi="宋体"/>
          <w:b/>
          <w:color w:val="auto"/>
          <w:sz w:val="32"/>
        </w:rPr>
        <w:t>年</w:t>
      </w:r>
      <w:r>
        <w:rPr>
          <w:rFonts w:hint="eastAsia" w:hAnsi="宋体"/>
          <w:b/>
          <w:color w:val="auto"/>
          <w:sz w:val="32"/>
          <w:lang w:val="en-US" w:eastAsia="zh-CN"/>
        </w:rPr>
        <w:t>5</w:t>
      </w:r>
      <w:r>
        <w:rPr>
          <w:rFonts w:hint="eastAsia" w:hAnsi="宋体"/>
          <w:b/>
          <w:color w:val="auto"/>
          <w:sz w:val="32"/>
        </w:rPr>
        <w:t>月</w:t>
      </w:r>
    </w:p>
    <w:p w14:paraId="4D77C8F0">
      <w:pPr>
        <w:pStyle w:val="15"/>
        <w:adjustRightInd w:val="0"/>
        <w:snapToGrid w:val="0"/>
        <w:spacing w:line="240" w:lineRule="atLeast"/>
        <w:jc w:val="both"/>
        <w:rPr>
          <w:rFonts w:hAnsi="宋体"/>
          <w:b/>
          <w:bCs/>
          <w:color w:val="auto"/>
          <w:sz w:val="32"/>
          <w:szCs w:val="32"/>
        </w:rPr>
        <w:sectPr>
          <w:headerReference r:id="rId3" w:type="default"/>
          <w:pgSz w:w="11906" w:h="16838"/>
          <w:pgMar w:top="1440" w:right="1588" w:bottom="1440" w:left="1588" w:header="851" w:footer="992" w:gutter="0"/>
          <w:cols w:space="720" w:num="1"/>
          <w:docGrid w:type="lines" w:linePitch="312" w:charSpace="0"/>
        </w:sectPr>
      </w:pPr>
    </w:p>
    <w:p w14:paraId="242E6B63">
      <w:pPr>
        <w:pStyle w:val="15"/>
        <w:adjustRightInd w:val="0"/>
        <w:snapToGrid w:val="0"/>
        <w:spacing w:line="360" w:lineRule="auto"/>
        <w:jc w:val="center"/>
        <w:rPr>
          <w:rFonts w:ascii="华文中宋" w:hAnsi="华文中宋" w:eastAsia="华文中宋"/>
          <w:b/>
          <w:color w:val="auto"/>
          <w:spacing w:val="160"/>
          <w:sz w:val="36"/>
          <w:szCs w:val="36"/>
        </w:rPr>
      </w:pPr>
      <w:r>
        <w:rPr>
          <w:rFonts w:hint="eastAsia" w:ascii="华文中宋" w:hAnsi="华文中宋" w:eastAsia="华文中宋"/>
          <w:b/>
          <w:color w:val="auto"/>
          <w:spacing w:val="160"/>
          <w:sz w:val="36"/>
          <w:szCs w:val="36"/>
        </w:rPr>
        <w:t>目录</w:t>
      </w:r>
    </w:p>
    <w:p w14:paraId="4F62AA18">
      <w:pPr>
        <w:pStyle w:val="19"/>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_Toc4820 </w:instrText>
      </w:r>
      <w:r>
        <w:rPr>
          <w:color w:val="auto"/>
        </w:rPr>
        <w:fldChar w:fldCharType="separate"/>
      </w:r>
      <w:r>
        <w:rPr>
          <w:rFonts w:hint="eastAsia" w:ascii="黑体" w:hAnsi="华文中宋" w:eastAsia="黑体"/>
          <w:color w:val="auto"/>
          <w:szCs w:val="32"/>
        </w:rPr>
        <w:t>第一章 投标邀请（</w:t>
      </w:r>
      <w:r>
        <w:rPr>
          <w:rFonts w:hint="eastAsia" w:ascii="黑体" w:hAnsi="华文中宋" w:eastAsia="黑体"/>
          <w:color w:val="auto"/>
          <w:szCs w:val="32"/>
          <w:lang w:eastAsia="zh-CN"/>
        </w:rPr>
        <w:t>询价比选</w:t>
      </w:r>
      <w:r>
        <w:rPr>
          <w:rFonts w:hint="eastAsia" w:ascii="黑体" w:hAnsi="华文中宋" w:eastAsia="黑体"/>
          <w:color w:val="auto"/>
          <w:szCs w:val="32"/>
        </w:rPr>
        <w:t>）</w:t>
      </w:r>
      <w:r>
        <w:rPr>
          <w:color w:val="auto"/>
        </w:rPr>
        <w:tab/>
      </w:r>
      <w:r>
        <w:rPr>
          <w:color w:val="auto"/>
        </w:rPr>
        <w:fldChar w:fldCharType="begin"/>
      </w:r>
      <w:r>
        <w:rPr>
          <w:color w:val="auto"/>
        </w:rPr>
        <w:instrText xml:space="preserve"> PAGEREF _Toc4820 \h </w:instrText>
      </w:r>
      <w:r>
        <w:rPr>
          <w:color w:val="auto"/>
        </w:rPr>
        <w:fldChar w:fldCharType="separate"/>
      </w:r>
      <w:r>
        <w:rPr>
          <w:color w:val="auto"/>
        </w:rPr>
        <w:t>2</w:t>
      </w:r>
      <w:r>
        <w:rPr>
          <w:color w:val="auto"/>
        </w:rPr>
        <w:fldChar w:fldCharType="end"/>
      </w:r>
      <w:r>
        <w:rPr>
          <w:color w:val="auto"/>
        </w:rPr>
        <w:fldChar w:fldCharType="end"/>
      </w:r>
    </w:p>
    <w:p w14:paraId="6CA0DEFE">
      <w:pPr>
        <w:pStyle w:val="19"/>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color w:val="auto"/>
        </w:rPr>
      </w:pPr>
      <w:r>
        <w:rPr>
          <w:color w:val="auto"/>
        </w:rPr>
        <w:fldChar w:fldCharType="begin"/>
      </w:r>
      <w:r>
        <w:rPr>
          <w:color w:val="auto"/>
        </w:rPr>
        <w:instrText xml:space="preserve"> HYPERLINK \l _Toc929 </w:instrText>
      </w:r>
      <w:r>
        <w:rPr>
          <w:color w:val="auto"/>
        </w:rPr>
        <w:fldChar w:fldCharType="separate"/>
      </w:r>
      <w:r>
        <w:rPr>
          <w:rFonts w:hint="eastAsia" w:ascii="黑体" w:hAnsi="华文中宋" w:eastAsia="黑体"/>
          <w:color w:val="auto"/>
          <w:szCs w:val="32"/>
        </w:rPr>
        <w:t>第二章 投标须知</w:t>
      </w:r>
      <w:r>
        <w:rPr>
          <w:color w:val="auto"/>
        </w:rPr>
        <w:tab/>
      </w:r>
      <w:r>
        <w:rPr>
          <w:color w:val="auto"/>
        </w:rPr>
        <w:fldChar w:fldCharType="begin"/>
      </w:r>
      <w:r>
        <w:rPr>
          <w:color w:val="auto"/>
        </w:rPr>
        <w:instrText xml:space="preserve"> PAGEREF _Toc929 \h </w:instrText>
      </w:r>
      <w:r>
        <w:rPr>
          <w:color w:val="auto"/>
        </w:rPr>
        <w:fldChar w:fldCharType="separate"/>
      </w:r>
      <w:r>
        <w:rPr>
          <w:color w:val="auto"/>
        </w:rPr>
        <w:t>5</w:t>
      </w:r>
      <w:r>
        <w:rPr>
          <w:color w:val="auto"/>
        </w:rPr>
        <w:fldChar w:fldCharType="end"/>
      </w:r>
      <w:r>
        <w:rPr>
          <w:color w:val="auto"/>
        </w:rPr>
        <w:fldChar w:fldCharType="end"/>
      </w:r>
    </w:p>
    <w:p w14:paraId="3CEAE7C1">
      <w:pPr>
        <w:pStyle w:val="19"/>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color w:val="auto"/>
        </w:rPr>
      </w:pPr>
      <w:r>
        <w:rPr>
          <w:color w:val="auto"/>
        </w:rPr>
        <w:fldChar w:fldCharType="begin"/>
      </w:r>
      <w:r>
        <w:rPr>
          <w:color w:val="auto"/>
        </w:rPr>
        <w:instrText xml:space="preserve"> HYPERLINK \l _Toc14320 </w:instrText>
      </w:r>
      <w:r>
        <w:rPr>
          <w:color w:val="auto"/>
        </w:rPr>
        <w:fldChar w:fldCharType="separate"/>
      </w:r>
      <w:r>
        <w:rPr>
          <w:rFonts w:hint="eastAsia" w:ascii="黑体" w:hAnsi="黑体" w:eastAsia="黑体"/>
          <w:color w:val="auto"/>
          <w:szCs w:val="32"/>
        </w:rPr>
        <w:t>第三章 资格审查</w:t>
      </w:r>
      <w:r>
        <w:rPr>
          <w:color w:val="auto"/>
        </w:rPr>
        <w:tab/>
      </w:r>
      <w:r>
        <w:rPr>
          <w:color w:val="auto"/>
        </w:rPr>
        <w:fldChar w:fldCharType="begin"/>
      </w:r>
      <w:r>
        <w:rPr>
          <w:color w:val="auto"/>
        </w:rPr>
        <w:instrText xml:space="preserve"> PAGEREF _Toc14320 \h </w:instrText>
      </w:r>
      <w:r>
        <w:rPr>
          <w:color w:val="auto"/>
        </w:rPr>
        <w:fldChar w:fldCharType="separate"/>
      </w:r>
      <w:r>
        <w:rPr>
          <w:color w:val="auto"/>
        </w:rPr>
        <w:t>18</w:t>
      </w:r>
      <w:r>
        <w:rPr>
          <w:color w:val="auto"/>
        </w:rPr>
        <w:fldChar w:fldCharType="end"/>
      </w:r>
      <w:r>
        <w:rPr>
          <w:color w:val="auto"/>
        </w:rPr>
        <w:fldChar w:fldCharType="end"/>
      </w:r>
    </w:p>
    <w:p w14:paraId="335D5930">
      <w:pPr>
        <w:pStyle w:val="19"/>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color w:val="auto"/>
        </w:rPr>
      </w:pPr>
      <w:r>
        <w:rPr>
          <w:color w:val="auto"/>
        </w:rPr>
        <w:fldChar w:fldCharType="begin"/>
      </w:r>
      <w:r>
        <w:rPr>
          <w:color w:val="auto"/>
        </w:rPr>
        <w:instrText xml:space="preserve"> HYPERLINK \l _Toc4238 </w:instrText>
      </w:r>
      <w:r>
        <w:rPr>
          <w:color w:val="auto"/>
        </w:rPr>
        <w:fldChar w:fldCharType="separate"/>
      </w:r>
      <w:r>
        <w:rPr>
          <w:rFonts w:hint="eastAsia" w:ascii="黑体" w:hAnsi="华文中宋" w:eastAsia="黑体"/>
          <w:color w:val="auto"/>
          <w:szCs w:val="32"/>
        </w:rPr>
        <w:t>第四章 评标方法及标准</w:t>
      </w:r>
      <w:r>
        <w:rPr>
          <w:color w:val="auto"/>
        </w:rPr>
        <w:tab/>
      </w:r>
      <w:r>
        <w:rPr>
          <w:color w:val="auto"/>
        </w:rPr>
        <w:fldChar w:fldCharType="begin"/>
      </w:r>
      <w:r>
        <w:rPr>
          <w:color w:val="auto"/>
        </w:rPr>
        <w:instrText xml:space="preserve"> PAGEREF _Toc4238 \h </w:instrText>
      </w:r>
      <w:r>
        <w:rPr>
          <w:color w:val="auto"/>
        </w:rPr>
        <w:fldChar w:fldCharType="separate"/>
      </w:r>
      <w:r>
        <w:rPr>
          <w:color w:val="auto"/>
        </w:rPr>
        <w:t>21</w:t>
      </w:r>
      <w:r>
        <w:rPr>
          <w:color w:val="auto"/>
        </w:rPr>
        <w:fldChar w:fldCharType="end"/>
      </w:r>
      <w:r>
        <w:rPr>
          <w:color w:val="auto"/>
        </w:rPr>
        <w:fldChar w:fldCharType="end"/>
      </w:r>
    </w:p>
    <w:p w14:paraId="53C6EC6E">
      <w:pPr>
        <w:pStyle w:val="19"/>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color w:val="auto"/>
        </w:rPr>
      </w:pPr>
      <w:r>
        <w:rPr>
          <w:color w:val="auto"/>
        </w:rPr>
        <w:fldChar w:fldCharType="begin"/>
      </w:r>
      <w:r>
        <w:rPr>
          <w:color w:val="auto"/>
        </w:rPr>
        <w:instrText xml:space="preserve"> HYPERLINK \l _Toc18690 </w:instrText>
      </w:r>
      <w:r>
        <w:rPr>
          <w:color w:val="auto"/>
        </w:rPr>
        <w:fldChar w:fldCharType="separate"/>
      </w:r>
      <w:r>
        <w:rPr>
          <w:rFonts w:hint="eastAsia" w:ascii="黑体" w:hAnsi="华文中宋" w:eastAsia="黑体"/>
          <w:color w:val="auto"/>
          <w:szCs w:val="32"/>
        </w:rPr>
        <w:t>第五章 采购需求</w:t>
      </w:r>
      <w:r>
        <w:rPr>
          <w:color w:val="auto"/>
        </w:rPr>
        <w:tab/>
      </w:r>
      <w:r>
        <w:rPr>
          <w:color w:val="auto"/>
        </w:rPr>
        <w:fldChar w:fldCharType="begin"/>
      </w:r>
      <w:r>
        <w:rPr>
          <w:color w:val="auto"/>
        </w:rPr>
        <w:instrText xml:space="preserve"> PAGEREF _Toc18690 \h </w:instrText>
      </w:r>
      <w:r>
        <w:rPr>
          <w:color w:val="auto"/>
        </w:rPr>
        <w:fldChar w:fldCharType="separate"/>
      </w:r>
      <w:r>
        <w:rPr>
          <w:color w:val="auto"/>
        </w:rPr>
        <w:t>32</w:t>
      </w:r>
      <w:r>
        <w:rPr>
          <w:color w:val="auto"/>
        </w:rPr>
        <w:fldChar w:fldCharType="end"/>
      </w:r>
      <w:r>
        <w:rPr>
          <w:color w:val="auto"/>
        </w:rPr>
        <w:fldChar w:fldCharType="end"/>
      </w:r>
    </w:p>
    <w:p w14:paraId="7452689A">
      <w:pPr>
        <w:pStyle w:val="19"/>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color w:val="auto"/>
        </w:rPr>
      </w:pPr>
      <w:r>
        <w:rPr>
          <w:color w:val="auto"/>
        </w:rPr>
        <w:fldChar w:fldCharType="begin"/>
      </w:r>
      <w:r>
        <w:rPr>
          <w:color w:val="auto"/>
        </w:rPr>
        <w:instrText xml:space="preserve"> HYPERLINK \l _Toc1202 </w:instrText>
      </w:r>
      <w:r>
        <w:rPr>
          <w:color w:val="auto"/>
        </w:rPr>
        <w:fldChar w:fldCharType="separate"/>
      </w:r>
      <w:r>
        <w:rPr>
          <w:rFonts w:hint="eastAsia" w:ascii="黑体" w:hAnsi="华文中宋" w:eastAsia="黑体"/>
          <w:color w:val="auto"/>
          <w:szCs w:val="32"/>
        </w:rPr>
        <w:t>第六章</w:t>
      </w:r>
      <w:r>
        <w:rPr>
          <w:rFonts w:hint="eastAsia" w:ascii="黑体" w:hAnsi="华文中宋" w:eastAsia="黑体"/>
          <w:color w:val="auto"/>
          <w:szCs w:val="32"/>
          <w:lang w:val="en-US" w:eastAsia="zh-CN"/>
        </w:rPr>
        <w:t xml:space="preserve"> </w:t>
      </w:r>
      <w:r>
        <w:rPr>
          <w:rFonts w:hint="eastAsia" w:ascii="黑体" w:hAnsi="华文中宋" w:eastAsia="黑体"/>
          <w:color w:val="auto"/>
          <w:szCs w:val="32"/>
        </w:rPr>
        <w:t>合同</w:t>
      </w:r>
      <w:r>
        <w:rPr>
          <w:color w:val="auto"/>
        </w:rPr>
        <w:tab/>
      </w:r>
      <w:r>
        <w:rPr>
          <w:color w:val="auto"/>
        </w:rPr>
        <w:fldChar w:fldCharType="begin"/>
      </w:r>
      <w:r>
        <w:rPr>
          <w:color w:val="auto"/>
        </w:rPr>
        <w:instrText xml:space="preserve"> PAGEREF _Toc1202 \h </w:instrText>
      </w:r>
      <w:r>
        <w:rPr>
          <w:color w:val="auto"/>
        </w:rPr>
        <w:fldChar w:fldCharType="separate"/>
      </w:r>
      <w:r>
        <w:rPr>
          <w:color w:val="auto"/>
        </w:rPr>
        <w:t>36</w:t>
      </w:r>
      <w:r>
        <w:rPr>
          <w:color w:val="auto"/>
        </w:rPr>
        <w:fldChar w:fldCharType="end"/>
      </w:r>
      <w:r>
        <w:rPr>
          <w:color w:val="auto"/>
        </w:rPr>
        <w:fldChar w:fldCharType="end"/>
      </w:r>
    </w:p>
    <w:p w14:paraId="5483D3CF">
      <w:pPr>
        <w:pStyle w:val="19"/>
        <w:keepNext w:val="0"/>
        <w:keepLines w:val="0"/>
        <w:pageBreakBefore w:val="0"/>
        <w:widowControl w:val="0"/>
        <w:tabs>
          <w:tab w:val="right" w:leader="dot" w:pos="8844"/>
        </w:tabs>
        <w:kinsoku/>
        <w:wordWrap/>
        <w:overflowPunct/>
        <w:topLinePunct w:val="0"/>
        <w:autoSpaceDE/>
        <w:autoSpaceDN/>
        <w:bidi w:val="0"/>
        <w:adjustRightInd/>
        <w:snapToGrid/>
        <w:spacing w:line="480" w:lineRule="auto"/>
        <w:textAlignment w:val="auto"/>
        <w:rPr>
          <w:color w:val="auto"/>
        </w:rPr>
      </w:pPr>
      <w:r>
        <w:rPr>
          <w:color w:val="auto"/>
        </w:rPr>
        <w:fldChar w:fldCharType="begin"/>
      </w:r>
      <w:r>
        <w:rPr>
          <w:color w:val="auto"/>
        </w:rPr>
        <w:instrText xml:space="preserve"> HYPERLINK \l _Toc31352 </w:instrText>
      </w:r>
      <w:r>
        <w:rPr>
          <w:color w:val="auto"/>
        </w:rPr>
        <w:fldChar w:fldCharType="separate"/>
      </w:r>
      <w:r>
        <w:rPr>
          <w:rFonts w:hint="eastAsia" w:ascii="黑体" w:hAnsi="华文中宋" w:eastAsia="黑体"/>
          <w:color w:val="auto"/>
          <w:szCs w:val="32"/>
        </w:rPr>
        <w:t>第七章 投标文件的组成</w:t>
      </w:r>
      <w:r>
        <w:rPr>
          <w:color w:val="auto"/>
        </w:rPr>
        <w:tab/>
      </w:r>
      <w:r>
        <w:rPr>
          <w:color w:val="auto"/>
        </w:rPr>
        <w:fldChar w:fldCharType="begin"/>
      </w:r>
      <w:r>
        <w:rPr>
          <w:color w:val="auto"/>
        </w:rPr>
        <w:instrText xml:space="preserve"> PAGEREF _Toc31352 \h </w:instrText>
      </w:r>
      <w:r>
        <w:rPr>
          <w:color w:val="auto"/>
        </w:rPr>
        <w:fldChar w:fldCharType="separate"/>
      </w:r>
      <w:r>
        <w:rPr>
          <w:color w:val="auto"/>
        </w:rPr>
        <w:t>37</w:t>
      </w:r>
      <w:r>
        <w:rPr>
          <w:color w:val="auto"/>
        </w:rPr>
        <w:fldChar w:fldCharType="end"/>
      </w:r>
      <w:r>
        <w:rPr>
          <w:color w:val="auto"/>
        </w:rPr>
        <w:fldChar w:fldCharType="end"/>
      </w:r>
    </w:p>
    <w:p w14:paraId="4355C2CB">
      <w:pPr>
        <w:keepNext w:val="0"/>
        <w:keepLines w:val="0"/>
        <w:pageBreakBefore w:val="0"/>
        <w:widowControl w:val="0"/>
        <w:kinsoku/>
        <w:wordWrap/>
        <w:overflowPunct/>
        <w:topLinePunct w:val="0"/>
        <w:autoSpaceDE/>
        <w:autoSpaceDN/>
        <w:bidi w:val="0"/>
        <w:adjustRightInd/>
        <w:snapToGrid/>
        <w:spacing w:line="480" w:lineRule="auto"/>
        <w:textAlignment w:val="auto"/>
        <w:rPr>
          <w:color w:val="auto"/>
        </w:rPr>
      </w:pPr>
      <w:r>
        <w:rPr>
          <w:color w:val="auto"/>
        </w:rPr>
        <w:fldChar w:fldCharType="end"/>
      </w:r>
    </w:p>
    <w:p w14:paraId="133BDEBF">
      <w:pPr>
        <w:pStyle w:val="15"/>
        <w:adjustRightInd w:val="0"/>
        <w:snapToGrid w:val="0"/>
        <w:spacing w:line="360" w:lineRule="auto"/>
        <w:outlineLvl w:val="0"/>
        <w:rPr>
          <w:rFonts w:hAnsi="宋体"/>
          <w:color w:val="auto"/>
        </w:rPr>
      </w:pPr>
      <w:r>
        <w:rPr>
          <w:rFonts w:hAnsi="宋体"/>
          <w:color w:val="auto"/>
        </w:rPr>
        <w:t xml:space="preserve"> </w:t>
      </w:r>
    </w:p>
    <w:p w14:paraId="25284DE7">
      <w:pPr>
        <w:adjustRightInd w:val="0"/>
        <w:snapToGrid w:val="0"/>
        <w:spacing w:line="240" w:lineRule="atLeast"/>
        <w:ind w:firstLine="840" w:firstLineChars="400"/>
        <w:rPr>
          <w:rFonts w:ascii="宋体" w:hAnsi="宋体"/>
          <w:color w:val="auto"/>
          <w:szCs w:val="21"/>
        </w:rPr>
      </w:pPr>
    </w:p>
    <w:p w14:paraId="73657F97">
      <w:pPr>
        <w:pStyle w:val="4"/>
        <w:rPr>
          <w:color w:val="auto"/>
        </w:rPr>
        <w:sectPr>
          <w:headerReference r:id="rId4" w:type="default"/>
          <w:footerReference r:id="rId5" w:type="default"/>
          <w:pgSz w:w="11906" w:h="16838"/>
          <w:pgMar w:top="1474" w:right="1474" w:bottom="1474" w:left="1588" w:header="851" w:footer="992" w:gutter="0"/>
          <w:pgNumType w:fmt="decimal" w:start="1"/>
          <w:cols w:space="720" w:num="1"/>
          <w:docGrid w:type="lines" w:linePitch="312" w:charSpace="0"/>
        </w:sectPr>
      </w:pPr>
      <w:bookmarkStart w:id="0" w:name="_Toc20816073"/>
      <w:bookmarkStart w:id="1" w:name="_Toc20642243"/>
      <w:bookmarkStart w:id="2" w:name="_Toc34720698"/>
      <w:bookmarkStart w:id="3" w:name="_Toc20988241"/>
      <w:bookmarkStart w:id="4" w:name="_Toc21000471"/>
      <w:bookmarkStart w:id="5" w:name="_Toc21001314"/>
      <w:bookmarkStart w:id="6" w:name="_Toc35421027"/>
      <w:bookmarkStart w:id="7" w:name="_Toc53472201"/>
    </w:p>
    <w:p w14:paraId="28B9AA90">
      <w:pPr>
        <w:pStyle w:val="4"/>
        <w:bidi w:val="0"/>
        <w:rPr>
          <w:color w:val="auto"/>
        </w:rPr>
      </w:pPr>
      <w:bookmarkStart w:id="8" w:name="_Toc2173"/>
      <w:bookmarkStart w:id="9" w:name="_Toc4820"/>
      <w:bookmarkStart w:id="10" w:name="_Toc27845"/>
      <w:r>
        <w:rPr>
          <w:rFonts w:hint="eastAsia"/>
          <w:color w:val="auto"/>
        </w:rPr>
        <w:t>第一章 投标邀请（</w:t>
      </w:r>
      <w:r>
        <w:rPr>
          <w:rFonts w:hint="eastAsia"/>
          <w:color w:val="auto"/>
          <w:lang w:eastAsia="zh-CN"/>
        </w:rPr>
        <w:t>询价比选</w:t>
      </w:r>
      <w:r>
        <w:rPr>
          <w:rFonts w:hint="eastAsia"/>
          <w:color w:val="auto"/>
        </w:rPr>
        <w:t>）</w:t>
      </w:r>
      <w:bookmarkEnd w:id="8"/>
      <w:bookmarkEnd w:id="9"/>
      <w:bookmarkEnd w:id="10"/>
    </w:p>
    <w:p w14:paraId="625AADE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u w:val="single"/>
          <w:lang w:val="en-US" w:eastAsia="zh-CN"/>
        </w:rPr>
        <w:t xml:space="preserve"> 娄底市华居建设有限公司 </w:t>
      </w:r>
      <w:r>
        <w:rPr>
          <w:rFonts w:hint="eastAsia" w:ascii="宋体" w:hAnsi="宋体"/>
          <w:color w:val="auto"/>
          <w:szCs w:val="21"/>
        </w:rPr>
        <w:t>（采购人名称）的</w:t>
      </w:r>
      <w:r>
        <w:rPr>
          <w:rFonts w:hint="eastAsia" w:ascii="宋体" w:hAnsi="宋体"/>
          <w:color w:val="auto"/>
          <w:szCs w:val="21"/>
          <w:u w:val="single"/>
          <w:lang w:eastAsia="zh-CN"/>
        </w:rPr>
        <w:t>娄底市万宝新区百亩安置基地二期(A地块)项目EPC工程总承包监理服务</w:t>
      </w:r>
      <w:r>
        <w:rPr>
          <w:rFonts w:hint="eastAsia" w:ascii="宋体" w:hAnsi="宋体"/>
          <w:color w:val="auto"/>
          <w:szCs w:val="21"/>
        </w:rPr>
        <w:t>(项目名称)进行公开</w:t>
      </w:r>
      <w:r>
        <w:rPr>
          <w:rFonts w:hint="eastAsia" w:ascii="宋体" w:hAnsi="宋体"/>
          <w:color w:val="auto"/>
          <w:szCs w:val="21"/>
          <w:lang w:eastAsia="zh-CN"/>
        </w:rPr>
        <w:t>询价比选</w:t>
      </w:r>
      <w:r>
        <w:rPr>
          <w:rFonts w:hint="eastAsia" w:ascii="宋体" w:hAnsi="宋体"/>
          <w:color w:val="auto"/>
          <w:szCs w:val="21"/>
        </w:rPr>
        <w:t>，现邀请合格投标人参加。</w:t>
      </w:r>
    </w:p>
    <w:p w14:paraId="3DDC8F6E">
      <w:pPr>
        <w:adjustRightInd w:val="0"/>
        <w:snapToGrid w:val="0"/>
        <w:spacing w:line="360" w:lineRule="auto"/>
        <w:ind w:firstLine="420" w:firstLineChars="200"/>
        <w:rPr>
          <w:rFonts w:ascii="宋体" w:hAnsi="宋体"/>
          <w:b/>
          <w:color w:val="auto"/>
          <w:szCs w:val="21"/>
        </w:rPr>
      </w:pPr>
      <w:r>
        <w:rPr>
          <w:rFonts w:hint="eastAsia" w:ascii="宋体" w:hAnsi="宋体"/>
          <w:b/>
          <w:color w:val="auto"/>
          <w:szCs w:val="21"/>
        </w:rPr>
        <w:t>一、采购项目基本信息</w:t>
      </w:r>
    </w:p>
    <w:p w14:paraId="47EAC336">
      <w:pPr>
        <w:adjustRightInd w:val="0"/>
        <w:snapToGrid w:val="0"/>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1、采购项目名称：</w:t>
      </w:r>
      <w:r>
        <w:rPr>
          <w:rFonts w:hint="eastAsia" w:ascii="宋体" w:hAnsi="宋体"/>
          <w:color w:val="auto"/>
          <w:szCs w:val="21"/>
          <w:u w:val="single"/>
          <w:lang w:eastAsia="zh-CN"/>
        </w:rPr>
        <w:t>娄底市万宝新区百亩安置基地二期(A地块)项目EPC工程总承包监理服务</w:t>
      </w:r>
    </w:p>
    <w:p w14:paraId="13D01768">
      <w:pPr>
        <w:adjustRightInd w:val="0"/>
        <w:snapToGrid w:val="0"/>
        <w:spacing w:line="360" w:lineRule="auto"/>
        <w:ind w:firstLine="420" w:firstLineChars="200"/>
        <w:rPr>
          <w:rFonts w:hint="eastAsia" w:ascii="宋体" w:hAnsi="宋体" w:eastAsia="宋体" w:cs="Times New Roman"/>
          <w:color w:val="auto"/>
          <w:szCs w:val="21"/>
          <w:u w:val="single"/>
          <w:lang w:val="en-US" w:eastAsia="zh-CN"/>
        </w:rPr>
      </w:pPr>
      <w:r>
        <w:rPr>
          <w:rFonts w:hint="eastAsia" w:ascii="宋体" w:hAnsi="宋体"/>
          <w:color w:val="auto"/>
          <w:szCs w:val="21"/>
          <w:u w:val="none"/>
          <w:lang w:val="en-US" w:eastAsia="zh-CN"/>
        </w:rPr>
        <w:t>2、项目工程概括：</w:t>
      </w:r>
      <w:r>
        <w:rPr>
          <w:rFonts w:hint="eastAsia" w:ascii="宋体" w:hAnsi="宋体"/>
          <w:color w:val="auto"/>
          <w:szCs w:val="21"/>
          <w:u w:val="single"/>
          <w:lang w:val="en-US" w:eastAsia="zh-CN"/>
        </w:rPr>
        <w:t>完成娄底市万宝新区百亩安置基地二期(A地块)项目EPC工程总承包项目红线范围内，安置房桩基工程(1~16#栋）、安置房基础建筑工程(1~16#栋），室外弱电预埋管工程、室外路灯工程、充电桩（管道预埋）、小区游园、室外道路工程、室外铺装工程、室外管网及附属工程、</w:t>
      </w:r>
      <w:r>
        <w:rPr>
          <w:rFonts w:hint="eastAsia" w:ascii="宋体" w:hAnsi="宋体" w:eastAsia="宋体" w:cs="Times New Roman"/>
          <w:color w:val="auto"/>
          <w:szCs w:val="21"/>
          <w:u w:val="single"/>
          <w:lang w:val="en-US" w:eastAsia="zh-CN"/>
        </w:rPr>
        <w:t>施工勘察(一桩一探)等</w:t>
      </w:r>
      <w:r>
        <w:rPr>
          <w:rFonts w:hint="eastAsia" w:ascii="宋体" w:hAnsi="宋体" w:cs="Times New Roman"/>
          <w:color w:val="auto"/>
          <w:szCs w:val="21"/>
          <w:u w:val="single"/>
          <w:lang w:val="en-US" w:eastAsia="zh-CN"/>
        </w:rPr>
        <w:t>工程</w:t>
      </w:r>
      <w:r>
        <w:rPr>
          <w:rFonts w:hint="eastAsia" w:ascii="宋体" w:hAnsi="宋体" w:eastAsia="宋体" w:cs="Times New Roman"/>
          <w:color w:val="auto"/>
          <w:szCs w:val="21"/>
          <w:u w:val="single"/>
          <w:lang w:val="en-US" w:eastAsia="zh-CN"/>
        </w:rPr>
        <w:t>内容</w:t>
      </w:r>
      <w:r>
        <w:rPr>
          <w:rFonts w:hint="eastAsia" w:ascii="宋体" w:hAnsi="宋体" w:cs="Times New Roman"/>
          <w:color w:val="auto"/>
          <w:szCs w:val="21"/>
          <w:u w:val="single"/>
          <w:lang w:val="en-US" w:eastAsia="zh-CN"/>
        </w:rPr>
        <w:t>。具体详见第五章采购需求。</w:t>
      </w:r>
    </w:p>
    <w:p w14:paraId="7CE25F47">
      <w:pPr>
        <w:adjustRightInd w:val="0"/>
        <w:snapToGrid w:val="0"/>
        <w:spacing w:line="360" w:lineRule="auto"/>
        <w:ind w:firstLine="420" w:firstLineChars="200"/>
        <w:rPr>
          <w:rFonts w:hint="eastAsia" w:ascii="宋体" w:hAnsi="宋体" w:eastAsia="宋体" w:cs="Times New Roman"/>
          <w:color w:val="auto"/>
          <w:szCs w:val="21"/>
          <w:u w:val="single"/>
          <w:lang w:val="en-US" w:eastAsia="zh-CN"/>
        </w:rPr>
      </w:pPr>
      <w:r>
        <w:rPr>
          <w:rFonts w:hint="eastAsia" w:ascii="宋体" w:hAnsi="宋体" w:eastAsia="宋体" w:cs="Times New Roman"/>
          <w:color w:val="auto"/>
          <w:szCs w:val="21"/>
          <w:u w:val="none"/>
          <w:lang w:val="en-US" w:eastAsia="zh-CN"/>
        </w:rPr>
        <w:t>3、监理服务费计算基数：</w:t>
      </w:r>
      <w:r>
        <w:rPr>
          <w:rFonts w:hint="eastAsia" w:ascii="宋体" w:hAnsi="宋体"/>
          <w:color w:val="auto"/>
          <w:szCs w:val="21"/>
          <w:u w:val="single"/>
          <w:lang w:val="en-US" w:eastAsia="zh-CN"/>
        </w:rPr>
        <w:t>娄底市香泉湾安置小区二期EPC工程</w:t>
      </w:r>
      <w:r>
        <w:rPr>
          <w:rFonts w:hint="eastAsia" w:ascii="宋体" w:hAnsi="宋体" w:eastAsia="宋体" w:cs="Times New Roman"/>
          <w:color w:val="auto"/>
          <w:szCs w:val="21"/>
          <w:u w:val="single"/>
          <w:lang w:val="en-US" w:eastAsia="zh-CN"/>
        </w:rPr>
        <w:t>总承包项目中标金额33600247.49元；施工勘察(一桩一探)金额为1850065.12元；合计</w:t>
      </w:r>
      <w:r>
        <w:rPr>
          <w:rFonts w:hint="eastAsia" w:ascii="宋体" w:hAnsi="宋体" w:cs="Times New Roman"/>
          <w:color w:val="auto"/>
          <w:szCs w:val="21"/>
          <w:u w:val="single"/>
          <w:lang w:val="en-US" w:eastAsia="zh-CN"/>
        </w:rPr>
        <w:t>35450312.61</w:t>
      </w:r>
      <w:r>
        <w:rPr>
          <w:rFonts w:hint="eastAsia" w:ascii="宋体" w:hAnsi="宋体" w:eastAsia="宋体" w:cs="Times New Roman"/>
          <w:color w:val="auto"/>
          <w:szCs w:val="21"/>
          <w:u w:val="single"/>
          <w:lang w:val="en-US" w:eastAsia="zh-CN"/>
        </w:rPr>
        <w:t>元。</w:t>
      </w:r>
    </w:p>
    <w:p w14:paraId="27226EF4">
      <w:pPr>
        <w:adjustRightInd w:val="0"/>
        <w:snapToGrid w:val="0"/>
        <w:spacing w:line="360" w:lineRule="auto"/>
        <w:ind w:firstLine="420" w:firstLineChars="200"/>
        <w:rPr>
          <w:rFonts w:hint="default" w:ascii="宋体" w:hAnsi="宋体" w:eastAsia="宋体" w:cs="Times New Roman"/>
          <w:color w:val="auto"/>
          <w:szCs w:val="21"/>
          <w:u w:val="single"/>
          <w:lang w:val="en-US" w:eastAsia="zh-CN"/>
        </w:rPr>
      </w:pPr>
      <w:r>
        <w:rPr>
          <w:rFonts w:hint="eastAsia" w:ascii="宋体" w:hAnsi="宋体" w:eastAsia="宋体" w:cs="Times New Roman"/>
          <w:color w:val="auto"/>
          <w:szCs w:val="21"/>
          <w:u w:val="none"/>
          <w:lang w:val="en-US" w:eastAsia="zh-CN"/>
        </w:rPr>
        <w:t>4、监理服务费最高费率：</w:t>
      </w:r>
      <w:r>
        <w:rPr>
          <w:rFonts w:hint="eastAsia" w:ascii="宋体" w:hAnsi="宋体" w:eastAsia="宋体" w:cs="Times New Roman"/>
          <w:color w:val="auto"/>
          <w:szCs w:val="21"/>
          <w:u w:val="single"/>
          <w:lang w:val="en-US" w:eastAsia="zh-CN"/>
        </w:rPr>
        <w:t>1.50%。</w:t>
      </w:r>
      <w:r>
        <w:rPr>
          <w:rFonts w:hint="eastAsia" w:ascii="宋体" w:hAnsi="宋体"/>
          <w:bCs/>
          <w:color w:val="auto"/>
          <w:szCs w:val="21"/>
          <w:u w:val="none"/>
          <w:lang w:eastAsia="zh-CN"/>
        </w:rPr>
        <w:t>（小数点后保留</w:t>
      </w:r>
      <w:r>
        <w:rPr>
          <w:rFonts w:hint="eastAsia" w:ascii="宋体" w:hAnsi="宋体"/>
          <w:bCs/>
          <w:color w:val="auto"/>
          <w:szCs w:val="21"/>
          <w:u w:val="none"/>
          <w:lang w:val="en-US" w:eastAsia="zh-CN"/>
        </w:rPr>
        <w:t>2位</w:t>
      </w:r>
      <w:r>
        <w:rPr>
          <w:rFonts w:hint="eastAsia" w:ascii="宋体" w:hAnsi="宋体"/>
          <w:bCs/>
          <w:color w:val="auto"/>
          <w:szCs w:val="21"/>
          <w:u w:val="none"/>
          <w:lang w:eastAsia="zh-CN"/>
        </w:rPr>
        <w:t>）</w:t>
      </w:r>
    </w:p>
    <w:p w14:paraId="1C5EFEE4">
      <w:pPr>
        <w:adjustRightInd w:val="0"/>
        <w:snapToGrid w:val="0"/>
        <w:spacing w:line="360" w:lineRule="auto"/>
        <w:ind w:firstLine="420" w:firstLineChars="200"/>
        <w:rPr>
          <w:rFonts w:ascii="宋体" w:hAnsi="宋体"/>
          <w:bCs/>
          <w:color w:val="auto"/>
          <w:szCs w:val="21"/>
          <w:u w:val="none"/>
        </w:rPr>
      </w:pPr>
      <w:r>
        <w:rPr>
          <w:rFonts w:hint="eastAsia" w:ascii="宋体" w:hAnsi="宋体"/>
          <w:bCs/>
          <w:color w:val="auto"/>
          <w:szCs w:val="21"/>
          <w:lang w:val="en-US" w:eastAsia="zh-CN"/>
        </w:rPr>
        <w:t>2</w:t>
      </w:r>
      <w:r>
        <w:rPr>
          <w:rFonts w:hint="eastAsia" w:ascii="宋体" w:hAnsi="宋体"/>
          <w:bCs/>
          <w:color w:val="auto"/>
          <w:szCs w:val="21"/>
        </w:rPr>
        <w:t>、采购项目</w:t>
      </w:r>
      <w:r>
        <w:rPr>
          <w:rFonts w:hint="eastAsia" w:ascii="宋体" w:hAnsi="宋体"/>
          <w:bCs/>
          <w:color w:val="auto"/>
          <w:szCs w:val="21"/>
          <w:lang w:eastAsia="zh-CN"/>
        </w:rPr>
        <w:t>最高限价</w:t>
      </w:r>
      <w:r>
        <w:rPr>
          <w:rFonts w:hint="eastAsia" w:ascii="宋体" w:hAnsi="宋体"/>
          <w:bCs/>
          <w:color w:val="auto"/>
          <w:szCs w:val="21"/>
        </w:rPr>
        <w:t>：</w:t>
      </w:r>
      <w:r>
        <w:rPr>
          <w:rFonts w:hint="eastAsia" w:ascii="宋体" w:hAnsi="宋体"/>
          <w:bCs/>
          <w:color w:val="auto"/>
          <w:szCs w:val="21"/>
          <w:u w:val="single"/>
          <w:lang w:val="en-US" w:eastAsia="zh-CN"/>
        </w:rPr>
        <w:t>531754.69</w:t>
      </w:r>
      <w:r>
        <w:rPr>
          <w:rFonts w:hint="eastAsia" w:ascii="宋体" w:hAnsi="宋体"/>
          <w:bCs/>
          <w:color w:val="auto"/>
          <w:szCs w:val="21"/>
          <w:u w:val="none"/>
          <w:lang w:val="en-US" w:eastAsia="zh-CN"/>
        </w:rPr>
        <w:t>元</w:t>
      </w:r>
      <w:r>
        <w:rPr>
          <w:rFonts w:hint="eastAsia" w:ascii="宋体" w:hAnsi="宋体"/>
          <w:bCs/>
          <w:color w:val="auto"/>
          <w:szCs w:val="21"/>
          <w:u w:val="none"/>
          <w:lang w:eastAsia="zh-CN"/>
        </w:rPr>
        <w:t>（小数点后保留</w:t>
      </w:r>
      <w:r>
        <w:rPr>
          <w:rFonts w:hint="eastAsia" w:ascii="宋体" w:hAnsi="宋体"/>
          <w:bCs/>
          <w:color w:val="auto"/>
          <w:szCs w:val="21"/>
          <w:u w:val="none"/>
          <w:lang w:val="en-US" w:eastAsia="zh-CN"/>
        </w:rPr>
        <w:t>2位</w:t>
      </w:r>
      <w:r>
        <w:rPr>
          <w:rFonts w:hint="eastAsia" w:ascii="宋体" w:hAnsi="宋体"/>
          <w:bCs/>
          <w:color w:val="auto"/>
          <w:szCs w:val="21"/>
          <w:u w:val="none"/>
          <w:lang w:eastAsia="zh-CN"/>
        </w:rPr>
        <w:t>）</w:t>
      </w:r>
      <w:r>
        <w:rPr>
          <w:rFonts w:hint="eastAsia" w:ascii="宋体" w:hAnsi="宋体"/>
          <w:bCs/>
          <w:color w:val="auto"/>
          <w:szCs w:val="21"/>
          <w:u w:val="none"/>
        </w:rPr>
        <w:t xml:space="preserve">   </w:t>
      </w:r>
    </w:p>
    <w:p w14:paraId="2C59D839">
      <w:pPr>
        <w:adjustRightInd w:val="0"/>
        <w:snapToGrid w:val="0"/>
        <w:spacing w:line="360" w:lineRule="auto"/>
        <w:ind w:firstLine="420" w:firstLineChars="200"/>
        <w:rPr>
          <w:rFonts w:hint="eastAsia" w:ascii="宋体" w:hAnsi="宋体"/>
          <w:iCs/>
          <w:color w:val="auto"/>
          <w:szCs w:val="21"/>
        </w:rPr>
      </w:pPr>
      <w:r>
        <w:rPr>
          <w:rFonts w:hint="eastAsia" w:ascii="宋体" w:hAnsi="宋体"/>
          <w:iCs/>
          <w:color w:val="auto"/>
          <w:szCs w:val="21"/>
          <w:lang w:val="en-US" w:eastAsia="zh-CN"/>
        </w:rPr>
        <w:t>3</w:t>
      </w:r>
      <w:r>
        <w:rPr>
          <w:rFonts w:hint="eastAsia" w:ascii="宋体" w:hAnsi="宋体"/>
          <w:iCs/>
          <w:color w:val="auto"/>
          <w:szCs w:val="21"/>
        </w:rPr>
        <w:t xml:space="preserve">、评标方法：综合评分法 </w:t>
      </w:r>
    </w:p>
    <w:p w14:paraId="744F985F">
      <w:pPr>
        <w:adjustRightInd w:val="0"/>
        <w:snapToGrid w:val="0"/>
        <w:spacing w:line="360" w:lineRule="auto"/>
        <w:ind w:firstLine="420" w:firstLineChars="200"/>
        <w:rPr>
          <w:rFonts w:hint="eastAsia" w:ascii="宋体" w:hAnsi="宋体"/>
          <w:iCs/>
          <w:color w:val="auto"/>
          <w:szCs w:val="21"/>
        </w:rPr>
      </w:pPr>
      <w:r>
        <w:rPr>
          <w:rFonts w:hint="eastAsia" w:ascii="宋体" w:hAnsi="宋体"/>
          <w:iCs/>
          <w:color w:val="auto"/>
          <w:szCs w:val="21"/>
          <w:lang w:val="en-US" w:eastAsia="zh-CN"/>
        </w:rPr>
        <w:t>4</w:t>
      </w:r>
      <w:r>
        <w:rPr>
          <w:rFonts w:hint="eastAsia" w:ascii="宋体" w:hAnsi="宋体"/>
          <w:iCs/>
          <w:color w:val="auto"/>
          <w:szCs w:val="21"/>
        </w:rPr>
        <w:t>、合同定价方式：</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p>
    <w:p w14:paraId="60BFDAC6">
      <w:pPr>
        <w:adjustRightInd w:val="0"/>
        <w:snapToGrid w:val="0"/>
        <w:spacing w:line="360" w:lineRule="auto"/>
        <w:ind w:firstLine="420" w:firstLineChars="200"/>
        <w:rPr>
          <w:rFonts w:hint="eastAsia" w:ascii="宋体" w:hAnsi="宋体"/>
          <w:iCs/>
          <w:color w:val="auto"/>
          <w:szCs w:val="21"/>
          <w:u w:val="single"/>
        </w:rPr>
      </w:pPr>
      <w:r>
        <w:rPr>
          <w:rFonts w:hint="eastAsia" w:ascii="宋体" w:hAnsi="宋体"/>
          <w:iCs/>
          <w:color w:val="auto"/>
          <w:szCs w:val="21"/>
          <w:lang w:val="en-US" w:eastAsia="zh-CN"/>
        </w:rPr>
        <w:t>5</w:t>
      </w:r>
      <w:r>
        <w:rPr>
          <w:rFonts w:hint="eastAsia" w:ascii="宋体" w:hAnsi="宋体"/>
          <w:iCs/>
          <w:color w:val="auto"/>
          <w:szCs w:val="21"/>
        </w:rPr>
        <w:t>、合同履行期限：</w:t>
      </w:r>
      <w:r>
        <w:rPr>
          <w:rFonts w:hint="eastAsia" w:ascii="宋体" w:hAnsi="宋体"/>
          <w:iCs/>
          <w:color w:val="auto"/>
          <w:szCs w:val="21"/>
          <w:u w:val="single"/>
        </w:rPr>
        <w:t>包括但不限于施工准备阶段开始至缺陷责任期结束,具体服务期须配合施工，以合同为准</w:t>
      </w:r>
      <w:r>
        <w:rPr>
          <w:rFonts w:hint="eastAsia" w:ascii="宋体" w:hAnsi="宋体"/>
          <w:iCs/>
          <w:color w:val="auto"/>
          <w:szCs w:val="21"/>
          <w:u w:val="single"/>
          <w:lang w:val="en-US" w:eastAsia="zh-CN"/>
        </w:rPr>
        <w:t>。</w:t>
      </w:r>
    </w:p>
    <w:p w14:paraId="3A4996AA">
      <w:pPr>
        <w:adjustRightInd w:val="0"/>
        <w:snapToGrid w:val="0"/>
        <w:spacing w:line="360" w:lineRule="auto"/>
        <w:ind w:firstLine="420" w:firstLineChars="200"/>
        <w:rPr>
          <w:rFonts w:ascii="宋体" w:hAnsi="宋体"/>
          <w:color w:val="auto"/>
          <w:szCs w:val="21"/>
        </w:rPr>
      </w:pPr>
      <w:r>
        <w:rPr>
          <w:rFonts w:hint="eastAsia" w:ascii="宋体" w:hAnsi="宋体"/>
          <w:b/>
          <w:color w:val="auto"/>
          <w:szCs w:val="21"/>
          <w:lang w:eastAsia="zh-CN"/>
        </w:rPr>
        <w:t>二</w:t>
      </w:r>
      <w:r>
        <w:rPr>
          <w:rFonts w:hint="eastAsia" w:ascii="宋体" w:hAnsi="宋体"/>
          <w:b/>
          <w:color w:val="auto"/>
          <w:szCs w:val="21"/>
        </w:rPr>
        <w:t>、投标人的资格要求</w:t>
      </w:r>
      <w:r>
        <w:rPr>
          <w:rFonts w:hint="eastAsia" w:ascii="宋体" w:hAnsi="宋体"/>
          <w:color w:val="auto"/>
          <w:szCs w:val="21"/>
        </w:rPr>
        <w:t>：</w:t>
      </w:r>
    </w:p>
    <w:p w14:paraId="720F809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1、投标人的基本资格条件：投标人必须是在中华人民共和国境内注册登记的法人、其他组织或者自然人，且应当符合《政府采购法》第二十二条第一款的规定。</w:t>
      </w:r>
    </w:p>
    <w:p w14:paraId="6F765705">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olor w:val="auto"/>
          <w:szCs w:val="21"/>
          <w:lang w:eastAsia="zh-CN"/>
        </w:rPr>
      </w:pPr>
      <w:r>
        <w:rPr>
          <w:rFonts w:hint="eastAsia" w:ascii="宋体" w:hAnsi="宋体"/>
          <w:color w:val="auto"/>
          <w:szCs w:val="21"/>
          <w:lang w:val="en-US" w:eastAsia="zh-CN"/>
        </w:rPr>
        <w:t>2</w:t>
      </w:r>
      <w:r>
        <w:rPr>
          <w:rFonts w:hint="eastAsia" w:ascii="宋体" w:hAnsi="宋体"/>
          <w:color w:val="auto"/>
          <w:szCs w:val="21"/>
        </w:rPr>
        <w:t>、采购项目的特定资格条件：</w:t>
      </w:r>
      <w:r>
        <w:rPr>
          <w:rFonts w:hint="eastAsia" w:ascii="宋体" w:hAnsi="宋体"/>
          <w:color w:val="auto"/>
          <w:szCs w:val="21"/>
          <w:u w:val="single"/>
          <w:lang w:val="en-US" w:eastAsia="zh-CN"/>
        </w:rPr>
        <w:t>供应商须具备建设主管部门颁发的监理综合资质或房屋建筑工程监理乙级及以上资质，资质证书处于有效期。</w:t>
      </w:r>
    </w:p>
    <w:p w14:paraId="44B9370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、单位负责人为同一人或者存在直接控股、管理关系的不同投标人，不得参加同一合同项下的</w:t>
      </w:r>
      <w:r>
        <w:rPr>
          <w:rFonts w:hint="eastAsia" w:ascii="宋体" w:hAnsi="宋体"/>
          <w:color w:val="auto"/>
          <w:szCs w:val="21"/>
          <w:lang w:eastAsia="zh-CN"/>
        </w:rPr>
        <w:t>询价比选</w:t>
      </w:r>
      <w:r>
        <w:rPr>
          <w:rFonts w:hint="eastAsia" w:ascii="宋体" w:hAnsi="宋体"/>
          <w:color w:val="auto"/>
          <w:szCs w:val="21"/>
        </w:rPr>
        <w:t>活动。</w:t>
      </w:r>
    </w:p>
    <w:p w14:paraId="442FD8F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lang w:val="en-US" w:eastAsia="zh-CN"/>
        </w:rPr>
        <w:t>4</w:t>
      </w:r>
      <w:r>
        <w:rPr>
          <w:rFonts w:hint="eastAsia" w:ascii="宋体" w:hAnsi="宋体"/>
          <w:color w:val="auto"/>
          <w:szCs w:val="21"/>
        </w:rPr>
        <w:t>、为本采购项目提供整体设计、规范编制或者项目管理、监理、检测等服务的，不得再参加此</w:t>
      </w:r>
      <w:r>
        <w:rPr>
          <w:rFonts w:hint="eastAsia" w:ascii="宋体" w:hAnsi="宋体"/>
          <w:color w:val="auto"/>
          <w:szCs w:val="21"/>
          <w:highlight w:val="none"/>
        </w:rPr>
        <w:t>项目的其他采购</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比选</w:t>
      </w:r>
      <w:r>
        <w:rPr>
          <w:rFonts w:hint="eastAsia" w:ascii="宋体" w:hAnsi="宋体"/>
          <w:color w:val="auto"/>
          <w:szCs w:val="21"/>
          <w:highlight w:val="none"/>
        </w:rPr>
        <w:t>活动。</w:t>
      </w:r>
    </w:p>
    <w:p w14:paraId="1555E7B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、列入失信被执行人、重大税收违法失信主体名单</w:t>
      </w:r>
      <w:r>
        <w:rPr>
          <w:rFonts w:hint="eastAsia" w:ascii="宋体" w:hAnsi="宋体"/>
          <w:color w:val="auto"/>
          <w:szCs w:val="21"/>
          <w:highlight w:val="none"/>
          <w:lang w:eastAsia="zh-CN"/>
        </w:rPr>
        <w:t>、</w:t>
      </w:r>
      <w:r>
        <w:rPr>
          <w:rFonts w:hint="eastAsia" w:ascii="宋体" w:hAnsi="宋体"/>
          <w:color w:val="auto"/>
          <w:szCs w:val="21"/>
          <w:highlight w:val="none"/>
        </w:rPr>
        <w:t>政府采购严重违法失信行为记录名单的，拒绝其参与</w:t>
      </w:r>
      <w:r>
        <w:rPr>
          <w:rFonts w:hint="eastAsia" w:ascii="宋体" w:hAnsi="宋体"/>
          <w:color w:val="auto"/>
          <w:szCs w:val="21"/>
          <w:highlight w:val="none"/>
          <w:lang w:eastAsia="zh-CN"/>
        </w:rPr>
        <w:t>询价比选</w:t>
      </w:r>
      <w:r>
        <w:rPr>
          <w:rFonts w:hint="eastAsia" w:ascii="宋体" w:hAnsi="宋体"/>
          <w:color w:val="auto"/>
          <w:szCs w:val="21"/>
          <w:highlight w:val="none"/>
        </w:rPr>
        <w:t>活动。</w:t>
      </w:r>
    </w:p>
    <w:p w14:paraId="4921D93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、联合体投标。本次招标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不接受</w:t>
      </w:r>
      <w:r>
        <w:rPr>
          <w:rFonts w:hint="eastAsia" w:ascii="宋体" w:hAnsi="宋体"/>
          <w:color w:val="auto"/>
          <w:szCs w:val="21"/>
          <w:highlight w:val="none"/>
          <w:u w:val="single"/>
        </w:rPr>
        <w:t xml:space="preserve"> </w:t>
      </w:r>
      <w:r>
        <w:rPr>
          <w:rFonts w:hint="eastAsia" w:ascii="宋体" w:hAnsi="宋体"/>
          <w:color w:val="auto"/>
          <w:szCs w:val="21"/>
          <w:highlight w:val="none"/>
        </w:rPr>
        <w:t>(接受或不接受)联合体投标。接受联合体投标的，联合体应当具备下列条件：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59D829">
      <w:pPr>
        <w:adjustRightInd w:val="0"/>
        <w:snapToGrid w:val="0"/>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lang w:eastAsia="zh-CN"/>
        </w:rPr>
        <w:t>三</w:t>
      </w:r>
      <w:r>
        <w:rPr>
          <w:rFonts w:hint="eastAsia" w:ascii="宋体" w:hAnsi="宋体"/>
          <w:b/>
          <w:color w:val="auto"/>
          <w:szCs w:val="21"/>
          <w:highlight w:val="none"/>
        </w:rPr>
        <w:t>、获取招标文件的时间、期限、地点及方式</w:t>
      </w:r>
    </w:p>
    <w:p w14:paraId="030C1194">
      <w:pPr>
        <w:keepNext w:val="0"/>
        <w:keepLines w:val="0"/>
        <w:pageBreakBefore w:val="0"/>
        <w:widowControl w:val="0"/>
        <w:tabs>
          <w:tab w:val="left" w:pos="4700"/>
          <w:tab w:val="left" w:pos="6000"/>
          <w:tab w:val="left" w:pos="7160"/>
          <w:tab w:val="left" w:pos="8520"/>
        </w:tabs>
        <w:kinsoku/>
        <w:wordWrap w:val="0"/>
        <w:overflowPunct/>
        <w:topLinePunct w:val="0"/>
        <w:autoSpaceDE w:val="0"/>
        <w:autoSpaceDN w:val="0"/>
        <w:bidi w:val="0"/>
        <w:adjustRightInd w:val="0"/>
        <w:snapToGrid w:val="0"/>
        <w:spacing w:line="360" w:lineRule="auto"/>
        <w:ind w:right="-23" w:firstLine="420" w:firstLineChars="200"/>
        <w:jc w:val="left"/>
        <w:textAlignment w:val="auto"/>
        <w:rPr>
          <w:rFonts w:ascii="宋体" w:hAnsi="宋体" w:cs="微软雅黑"/>
          <w:color w:val="auto"/>
          <w:spacing w:val="-14"/>
          <w:kern w:val="0"/>
          <w:szCs w:val="21"/>
          <w:u w:val="none"/>
        </w:rPr>
      </w:pPr>
      <w:r>
        <w:rPr>
          <w:rFonts w:hint="eastAsia" w:ascii="宋体" w:hAnsi="宋体" w:cs="微软雅黑"/>
          <w:color w:val="auto"/>
          <w:kern w:val="0"/>
          <w:szCs w:val="21"/>
        </w:rPr>
        <w:t>有</w:t>
      </w:r>
      <w:r>
        <w:rPr>
          <w:rFonts w:hint="eastAsia" w:ascii="宋体" w:hAnsi="宋体" w:cs="微软雅黑"/>
          <w:color w:val="auto"/>
          <w:spacing w:val="-2"/>
          <w:kern w:val="0"/>
          <w:szCs w:val="21"/>
        </w:rPr>
        <w:t>意</w:t>
      </w:r>
      <w:r>
        <w:rPr>
          <w:rFonts w:hint="eastAsia" w:ascii="宋体" w:hAnsi="宋体" w:cs="微软雅黑"/>
          <w:color w:val="auto"/>
          <w:kern w:val="0"/>
          <w:szCs w:val="21"/>
        </w:rPr>
        <w:t>参</w:t>
      </w:r>
      <w:r>
        <w:rPr>
          <w:rFonts w:hint="eastAsia" w:ascii="宋体" w:hAnsi="宋体" w:cs="微软雅黑"/>
          <w:color w:val="auto"/>
          <w:spacing w:val="-2"/>
          <w:kern w:val="0"/>
          <w:szCs w:val="21"/>
        </w:rPr>
        <w:t>加</w:t>
      </w:r>
      <w:r>
        <w:rPr>
          <w:rFonts w:hint="eastAsia" w:ascii="宋体" w:hAnsi="宋体" w:cs="微软雅黑"/>
          <w:color w:val="auto"/>
          <w:kern w:val="0"/>
          <w:szCs w:val="21"/>
        </w:rPr>
        <w:t>投</w:t>
      </w:r>
      <w:r>
        <w:rPr>
          <w:rFonts w:hint="eastAsia" w:ascii="宋体" w:hAnsi="宋体" w:cs="微软雅黑"/>
          <w:color w:val="auto"/>
          <w:spacing w:val="-2"/>
          <w:kern w:val="0"/>
          <w:szCs w:val="21"/>
        </w:rPr>
        <w:t>标</w:t>
      </w:r>
      <w:r>
        <w:rPr>
          <w:rFonts w:hint="eastAsia" w:ascii="宋体" w:hAnsi="宋体" w:cs="微软雅黑"/>
          <w:color w:val="auto"/>
          <w:kern w:val="0"/>
          <w:szCs w:val="21"/>
        </w:rPr>
        <w:t>者，</w:t>
      </w:r>
      <w:r>
        <w:rPr>
          <w:rFonts w:hint="eastAsia" w:ascii="宋体" w:hAnsi="宋体" w:cs="微软雅黑"/>
          <w:color w:val="auto"/>
          <w:kern w:val="0"/>
          <w:szCs w:val="21"/>
          <w:u w:val="none"/>
        </w:rPr>
        <w:t>在</w:t>
      </w:r>
      <w:r>
        <w:rPr>
          <w:rFonts w:hint="eastAsia" w:ascii="宋体" w:hAnsi="宋体" w:cs="宋体"/>
          <w:color w:val="auto"/>
          <w:sz w:val="21"/>
          <w:szCs w:val="21"/>
          <w:u w:val="none"/>
          <w:lang w:eastAsia="zh-CN"/>
        </w:rPr>
        <w:t>娄底市万宝新区开发投资集团有限公司网站（http://www.wbtzjt.com/）</w:t>
      </w:r>
      <w:r>
        <w:rPr>
          <w:rFonts w:hint="eastAsia" w:ascii="宋体" w:hAnsi="宋体" w:eastAsia="宋体" w:cs="宋体"/>
          <w:color w:val="auto"/>
          <w:sz w:val="21"/>
          <w:szCs w:val="21"/>
          <w:u w:val="none"/>
        </w:rPr>
        <w:t>上下载</w:t>
      </w:r>
      <w:r>
        <w:rPr>
          <w:rFonts w:hint="eastAsia" w:ascii="宋体" w:hAnsi="宋体" w:cs="宋体"/>
          <w:color w:val="auto"/>
          <w:sz w:val="21"/>
          <w:szCs w:val="21"/>
          <w:u w:val="none"/>
          <w:lang w:eastAsia="zh-CN"/>
        </w:rPr>
        <w:t>询价比选</w:t>
      </w:r>
      <w:r>
        <w:rPr>
          <w:rFonts w:hint="eastAsia" w:ascii="宋体" w:hAnsi="宋体" w:eastAsia="宋体" w:cs="宋体"/>
          <w:color w:val="auto"/>
          <w:sz w:val="21"/>
          <w:szCs w:val="21"/>
          <w:u w:val="none"/>
        </w:rPr>
        <w:t>文件，逾期将不能获取文件。与本项目相关的澄清公告、更正或补充公告均为</w:t>
      </w:r>
      <w:r>
        <w:rPr>
          <w:rFonts w:hint="eastAsia" w:ascii="宋体" w:hAnsi="宋体" w:cs="宋体"/>
          <w:color w:val="auto"/>
          <w:sz w:val="21"/>
          <w:szCs w:val="21"/>
          <w:u w:val="none"/>
          <w:lang w:eastAsia="zh-CN"/>
        </w:rPr>
        <w:t>询价比选</w:t>
      </w:r>
      <w:r>
        <w:rPr>
          <w:rFonts w:hint="eastAsia" w:ascii="宋体" w:hAnsi="宋体" w:eastAsia="宋体" w:cs="宋体"/>
          <w:color w:val="auto"/>
          <w:sz w:val="21"/>
          <w:szCs w:val="21"/>
          <w:u w:val="none"/>
        </w:rPr>
        <w:t>文件的组成部分，发布</w:t>
      </w:r>
      <w:r>
        <w:rPr>
          <w:rFonts w:hint="eastAsia" w:ascii="宋体" w:hAnsi="宋体" w:cs="宋体"/>
          <w:color w:val="auto"/>
          <w:sz w:val="21"/>
          <w:szCs w:val="21"/>
          <w:u w:val="none"/>
          <w:lang w:eastAsia="zh-CN"/>
        </w:rPr>
        <w:t>渠道</w:t>
      </w:r>
      <w:r>
        <w:rPr>
          <w:rFonts w:hint="eastAsia" w:ascii="宋体" w:hAnsi="宋体" w:eastAsia="宋体" w:cs="宋体"/>
          <w:color w:val="auto"/>
          <w:sz w:val="21"/>
          <w:szCs w:val="21"/>
          <w:u w:val="none"/>
        </w:rPr>
        <w:t>为“</w:t>
      </w:r>
      <w:r>
        <w:rPr>
          <w:rFonts w:hint="eastAsia" w:ascii="宋体" w:hAnsi="宋体" w:cs="宋体"/>
          <w:color w:val="auto"/>
          <w:sz w:val="21"/>
          <w:szCs w:val="21"/>
          <w:u w:val="none"/>
          <w:lang w:eastAsia="zh-CN"/>
        </w:rPr>
        <w:t>娄底市万宝新区开发投资集团有限公司</w:t>
      </w:r>
      <w:r>
        <w:rPr>
          <w:rFonts w:hint="eastAsia" w:ascii="宋体" w:hAnsi="宋体" w:cs="宋体"/>
          <w:color w:val="auto"/>
          <w:sz w:val="21"/>
          <w:szCs w:val="21"/>
          <w:u w:val="none"/>
          <w:lang w:val="en-US" w:eastAsia="zh-CN"/>
        </w:rPr>
        <w:t>网站</w:t>
      </w:r>
      <w:r>
        <w:rPr>
          <w:rFonts w:hint="eastAsia" w:ascii="宋体" w:hAnsi="宋体" w:cs="宋体"/>
          <w:color w:val="auto"/>
          <w:sz w:val="21"/>
          <w:szCs w:val="21"/>
          <w:u w:val="none"/>
          <w:lang w:eastAsia="zh-CN"/>
        </w:rPr>
        <w:t>（http://www.wbtzjt.com/）</w:t>
      </w:r>
      <w:r>
        <w:rPr>
          <w:rFonts w:hint="eastAsia" w:ascii="宋体" w:hAnsi="宋体" w:eastAsia="宋体" w:cs="宋体"/>
          <w:color w:val="auto"/>
          <w:sz w:val="21"/>
          <w:szCs w:val="21"/>
          <w:u w:val="none"/>
        </w:rPr>
        <w:t>”</w:t>
      </w:r>
      <w:r>
        <w:rPr>
          <w:rFonts w:hint="eastAsia" w:ascii="宋体" w:hAnsi="宋体" w:cs="宋体"/>
          <w:color w:val="auto"/>
          <w:sz w:val="21"/>
          <w:szCs w:val="21"/>
          <w:u w:val="none"/>
          <w:lang w:val="en-US" w:eastAsia="zh-CN"/>
        </w:rPr>
        <w:t>及微信公众号</w:t>
      </w:r>
      <w:r>
        <w:rPr>
          <w:rFonts w:hint="eastAsia" w:ascii="宋体" w:hAnsi="宋体" w:eastAsia="宋体" w:cs="宋体"/>
          <w:color w:val="auto"/>
          <w:sz w:val="21"/>
          <w:szCs w:val="21"/>
          <w:u w:val="none"/>
        </w:rPr>
        <w:t>。投标人应及时留意最新公告，因投标人浏览不及时，致使造成投标损失或其他后果的，均由投标人自行承担。</w:t>
      </w:r>
    </w:p>
    <w:p w14:paraId="6C3F32A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b/>
          <w:color w:val="auto"/>
          <w:szCs w:val="21"/>
        </w:rPr>
      </w:pPr>
      <w:r>
        <w:rPr>
          <w:rFonts w:hint="eastAsia" w:ascii="宋体" w:hAnsi="宋体"/>
          <w:b/>
          <w:color w:val="auto"/>
          <w:szCs w:val="21"/>
        </w:rPr>
        <w:t>投标截止时间、开标时间及地点</w:t>
      </w:r>
    </w:p>
    <w:p w14:paraId="4538938F">
      <w:pPr>
        <w:numPr>
          <w:ilvl w:val="0"/>
          <w:numId w:val="2"/>
        </w:num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投标文件</w:t>
      </w:r>
      <w:r>
        <w:rPr>
          <w:rFonts w:hint="eastAsia" w:ascii="宋体" w:hAnsi="宋体" w:cs="宋体"/>
          <w:color w:val="auto"/>
          <w:sz w:val="21"/>
          <w:szCs w:val="21"/>
          <w:lang w:eastAsia="zh-CN"/>
        </w:rPr>
        <w:t>递交</w:t>
      </w:r>
      <w:r>
        <w:rPr>
          <w:rFonts w:hint="eastAsia" w:ascii="宋体" w:hAnsi="宋体" w:eastAsia="宋体" w:cs="宋体"/>
          <w:color w:val="auto"/>
          <w:sz w:val="21"/>
          <w:szCs w:val="21"/>
        </w:rPr>
        <w:t>的截止时间</w:t>
      </w:r>
      <w:r>
        <w:rPr>
          <w:rFonts w:hint="eastAsia" w:ascii="宋体" w:hAnsi="宋体" w:cs="宋体"/>
          <w:color w:val="auto"/>
          <w:sz w:val="21"/>
          <w:szCs w:val="21"/>
          <w:lang w:eastAsia="zh-CN"/>
        </w:rPr>
        <w:t>及开标时间</w:t>
      </w:r>
      <w:r>
        <w:rPr>
          <w:rFonts w:hint="eastAsia" w:ascii="宋体" w:hAnsi="宋体" w:eastAsia="宋体" w:cs="宋体"/>
          <w:color w:val="auto"/>
          <w:sz w:val="21"/>
          <w:szCs w:val="21"/>
        </w:rPr>
        <w:t>：</w:t>
      </w:r>
      <w:r>
        <w:rPr>
          <w:rFonts w:hint="eastAsia" w:ascii="宋体" w:hAnsi="宋体" w:eastAsia="宋体" w:cs="宋体"/>
          <w:color w:val="000000" w:themeColor="text1"/>
          <w:sz w:val="21"/>
          <w:szCs w:val="21"/>
          <w:u w:val="single"/>
          <w14:textFill>
            <w14:solidFill>
              <w14:schemeClr w14:val="tx1"/>
            </w14:solidFill>
          </w14:textFill>
        </w:rPr>
        <w:t>202</w:t>
      </w:r>
      <w:r>
        <w:rPr>
          <w:rFonts w:hint="eastAsia" w:ascii="宋体" w:hAnsi="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u w:val="single"/>
          <w14:textFill>
            <w14:solidFill>
              <w14:schemeClr w14:val="tx1"/>
            </w14:solidFill>
          </w14:textFill>
        </w:rPr>
        <w:t>年</w:t>
      </w:r>
      <w:r>
        <w:rPr>
          <w:rFonts w:hint="eastAsia" w:ascii="宋体" w:hAnsi="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u w:val="single"/>
          <w14:textFill>
            <w14:solidFill>
              <w14:schemeClr w14:val="tx1"/>
            </w14:solidFill>
          </w14:textFill>
        </w:rPr>
        <w:t>月</w:t>
      </w:r>
      <w:r>
        <w:rPr>
          <w:rFonts w:hint="eastAsia" w:ascii="宋体" w:hAnsi="宋体" w:cs="宋体"/>
          <w:color w:val="000000" w:themeColor="text1"/>
          <w:sz w:val="21"/>
          <w:szCs w:val="21"/>
          <w:u w:val="single"/>
          <w:lang w:val="en-US" w:eastAsia="zh-CN"/>
          <w14:textFill>
            <w14:solidFill>
              <w14:schemeClr w14:val="tx1"/>
            </w14:solidFill>
          </w14:textFill>
        </w:rPr>
        <w:t>30</w:t>
      </w:r>
      <w:r>
        <w:rPr>
          <w:rFonts w:hint="eastAsia" w:ascii="宋体" w:hAnsi="宋体" w:eastAsia="宋体" w:cs="宋体"/>
          <w:color w:val="000000" w:themeColor="text1"/>
          <w:sz w:val="21"/>
          <w:szCs w:val="21"/>
          <w:u w:val="single"/>
          <w14:textFill>
            <w14:solidFill>
              <w14:schemeClr w14:val="tx1"/>
            </w14:solidFill>
          </w14:textFill>
        </w:rPr>
        <w:t>日</w:t>
      </w:r>
      <w:r>
        <w:rPr>
          <w:rFonts w:hint="eastAsia" w:ascii="宋体" w:hAnsi="宋体" w:cs="宋体"/>
          <w:color w:val="000000" w:themeColor="text1"/>
          <w:sz w:val="21"/>
          <w:szCs w:val="21"/>
          <w:u w:val="single"/>
          <w:lang w:val="en-US" w:eastAsia="zh-CN"/>
          <w14:textFill>
            <w14:solidFill>
              <w14:schemeClr w14:val="tx1"/>
            </w14:solidFill>
          </w14:textFill>
        </w:rPr>
        <w:t>17</w:t>
      </w:r>
      <w:r>
        <w:rPr>
          <w:rFonts w:hint="eastAsia" w:ascii="宋体" w:hAnsi="宋体" w:eastAsia="宋体" w:cs="宋体"/>
          <w:color w:val="000000" w:themeColor="text1"/>
          <w:sz w:val="21"/>
          <w:szCs w:val="21"/>
          <w:u w:val="single"/>
          <w14:textFill>
            <w14:solidFill>
              <w14:schemeClr w14:val="tx1"/>
            </w14:solidFill>
          </w14:textFill>
        </w:rPr>
        <w:t>时</w:t>
      </w:r>
      <w:r>
        <w:rPr>
          <w:rFonts w:hint="eastAsia" w:ascii="宋体" w:hAnsi="宋体" w:cs="宋体"/>
          <w:color w:val="000000" w:themeColor="text1"/>
          <w:sz w:val="21"/>
          <w:szCs w:val="21"/>
          <w:u w:val="single"/>
          <w:lang w:val="en-US" w:eastAsia="zh-CN"/>
          <w14:textFill>
            <w14:solidFill>
              <w14:schemeClr w14:val="tx1"/>
            </w14:solidFill>
          </w14:textFill>
        </w:rPr>
        <w:t xml:space="preserve">30 </w:t>
      </w:r>
      <w:r>
        <w:rPr>
          <w:rFonts w:hint="eastAsia" w:ascii="宋体" w:hAnsi="宋体" w:eastAsia="宋体" w:cs="宋体"/>
          <w:color w:val="000000" w:themeColor="text1"/>
          <w:sz w:val="21"/>
          <w:szCs w:val="21"/>
          <w:u w:val="single"/>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（北京</w:t>
      </w:r>
      <w:r>
        <w:rPr>
          <w:rFonts w:hint="eastAsia" w:ascii="宋体" w:hAnsi="宋体" w:eastAsia="宋体" w:cs="宋体"/>
          <w:color w:val="auto"/>
          <w:sz w:val="21"/>
          <w:szCs w:val="21"/>
        </w:rPr>
        <w:t>时间）；</w:t>
      </w:r>
    </w:p>
    <w:p w14:paraId="74B454AE">
      <w:pPr>
        <w:numPr>
          <w:ilvl w:val="0"/>
          <w:numId w:val="2"/>
        </w:numPr>
        <w:adjustRightInd w:val="0"/>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投标地点/开标地点：</w:t>
      </w:r>
      <w:r>
        <w:rPr>
          <w:rFonts w:hint="eastAsia" w:ascii="宋体" w:hAnsi="宋体" w:cs="宋体"/>
          <w:color w:val="auto"/>
          <w:sz w:val="21"/>
          <w:szCs w:val="21"/>
          <w:lang w:eastAsia="zh-CN"/>
        </w:rPr>
        <w:t>娄底市万宝新区开发投资集团有限公司</w:t>
      </w:r>
      <w:r>
        <w:rPr>
          <w:rFonts w:hint="eastAsia" w:ascii="宋体" w:hAnsi="宋体" w:cs="宋体"/>
          <w:color w:val="auto"/>
          <w:sz w:val="21"/>
          <w:szCs w:val="21"/>
          <w:u w:val="single"/>
          <w:lang w:val="en-US" w:eastAsia="zh-CN"/>
        </w:rPr>
        <w:t>519会议室</w:t>
      </w:r>
      <w:r>
        <w:rPr>
          <w:rFonts w:hint="eastAsia" w:ascii="宋体" w:hAnsi="宋体" w:cs="宋体"/>
          <w:color w:val="auto"/>
          <w:sz w:val="21"/>
          <w:szCs w:val="21"/>
          <w:lang w:eastAsia="zh-CN"/>
        </w:rPr>
        <w:t>（娄底市静安街百弘学府城</w:t>
      </w:r>
      <w:r>
        <w:rPr>
          <w:rFonts w:hint="eastAsia" w:ascii="宋体" w:hAnsi="宋体" w:cs="宋体"/>
          <w:color w:val="auto"/>
          <w:sz w:val="21"/>
          <w:szCs w:val="21"/>
          <w:lang w:val="en-US" w:eastAsia="zh-CN"/>
        </w:rPr>
        <w:t>B6栋5楼</w:t>
      </w:r>
      <w:r>
        <w:rPr>
          <w:rFonts w:hint="eastAsia" w:ascii="宋体" w:hAnsi="宋体" w:cs="宋体"/>
          <w:color w:val="auto"/>
          <w:sz w:val="21"/>
          <w:szCs w:val="21"/>
          <w:lang w:eastAsia="zh-CN"/>
        </w:rPr>
        <w:t>）。</w:t>
      </w:r>
    </w:p>
    <w:p w14:paraId="5C8F32F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投标文件编制说明与递交</w:t>
      </w:r>
    </w:p>
    <w:p w14:paraId="338545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本招标项目采用</w:t>
      </w:r>
      <w:r>
        <w:rPr>
          <w:rFonts w:hint="eastAsia" w:ascii="宋体" w:hAnsi="宋体" w:cs="宋体"/>
          <w:color w:val="000000" w:themeColor="text1"/>
          <w:sz w:val="21"/>
          <w:szCs w:val="21"/>
          <w:lang w:eastAsia="zh-CN"/>
          <w14:textFill>
            <w14:solidFill>
              <w14:schemeClr w14:val="tx1"/>
            </w14:solidFill>
          </w14:textFill>
        </w:rPr>
        <w:t>投标人携带身份证明资料现场参与询价比选会的形式</w:t>
      </w:r>
      <w:r>
        <w:rPr>
          <w:rFonts w:hint="eastAsia" w:ascii="宋体" w:hAnsi="宋体" w:eastAsia="宋体" w:cs="宋体"/>
          <w:color w:val="000000" w:themeColor="text1"/>
          <w:sz w:val="21"/>
          <w:szCs w:val="21"/>
          <w:lang w:val="en-US" w:eastAsia="zh-CN"/>
          <w14:textFill>
            <w14:solidFill>
              <w14:schemeClr w14:val="tx1"/>
            </w14:solidFill>
          </w14:textFill>
        </w:rPr>
        <w:t>，授权委托人需携带近6个月的社保缴纳证明,</w:t>
      </w:r>
      <w:r>
        <w:rPr>
          <w:rFonts w:hint="eastAsia" w:ascii="宋体" w:hAnsi="宋体" w:cs="宋体"/>
          <w:color w:val="000000" w:themeColor="text1"/>
          <w:sz w:val="21"/>
          <w:szCs w:val="21"/>
          <w:lang w:eastAsia="zh-CN"/>
          <w14:textFill>
            <w14:solidFill>
              <w14:schemeClr w14:val="tx1"/>
            </w14:solidFill>
          </w14:textFill>
        </w:rPr>
        <w:t>投标人现场向采购人递交投标文件</w:t>
      </w:r>
      <w:r>
        <w:rPr>
          <w:rFonts w:hint="eastAsia" w:ascii="宋体" w:hAnsi="宋体" w:eastAsia="宋体" w:cs="宋体"/>
          <w:color w:val="000000" w:themeColor="text1"/>
          <w:sz w:val="21"/>
          <w:szCs w:val="21"/>
          <w14:textFill>
            <w14:solidFill>
              <w14:schemeClr w14:val="tx1"/>
            </w14:solidFill>
          </w14:textFill>
        </w:rPr>
        <w:t>。</w:t>
      </w:r>
    </w:p>
    <w:p w14:paraId="34526096">
      <w:pPr>
        <w:adjustRightInd w:val="0"/>
        <w:snapToGrid w:val="0"/>
        <w:spacing w:line="360" w:lineRule="auto"/>
        <w:ind w:firstLine="420" w:firstLineChars="200"/>
        <w:rPr>
          <w:rFonts w:ascii="宋体" w:hAnsi="宋体"/>
          <w:color w:val="auto"/>
          <w:szCs w:val="21"/>
        </w:rPr>
      </w:pPr>
      <w:r>
        <w:rPr>
          <w:rFonts w:hint="eastAsia" w:ascii="宋体" w:hAnsi="宋体"/>
          <w:b/>
          <w:color w:val="auto"/>
          <w:szCs w:val="21"/>
          <w:lang w:val="en-US" w:eastAsia="zh-CN"/>
        </w:rPr>
        <w:t>六</w:t>
      </w:r>
      <w:r>
        <w:rPr>
          <w:rFonts w:hint="eastAsia" w:ascii="宋体" w:hAnsi="宋体"/>
          <w:b/>
          <w:color w:val="auto"/>
          <w:szCs w:val="21"/>
        </w:rPr>
        <w:t>、公告期限</w:t>
      </w:r>
      <w:r>
        <w:rPr>
          <w:rFonts w:hint="eastAsia" w:ascii="宋体" w:hAnsi="宋体"/>
          <w:color w:val="auto"/>
          <w:szCs w:val="21"/>
        </w:rPr>
        <w:t>：</w:t>
      </w:r>
    </w:p>
    <w:p w14:paraId="3E0B6E3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1、本招标公告在</w:t>
      </w:r>
      <w:r>
        <w:rPr>
          <w:rFonts w:hint="eastAsia" w:ascii="宋体" w:hAnsi="宋体" w:cs="宋体"/>
          <w:color w:val="auto"/>
          <w:sz w:val="21"/>
          <w:szCs w:val="21"/>
          <w:u w:val="none"/>
          <w:lang w:eastAsia="zh-CN"/>
        </w:rPr>
        <w:t>娄底市万宝新区开发投资集团有限公司网站（http://www.wbtzjt.com/）</w:t>
      </w:r>
      <w:r>
        <w:rPr>
          <w:rFonts w:hint="eastAsia" w:ascii="宋体" w:hAnsi="宋体" w:cs="宋体"/>
          <w:color w:val="auto"/>
          <w:sz w:val="21"/>
          <w:szCs w:val="21"/>
          <w:u w:val="none"/>
          <w:lang w:val="en-US" w:eastAsia="zh-CN"/>
        </w:rPr>
        <w:t>及微信公众号</w:t>
      </w:r>
      <w:r>
        <w:rPr>
          <w:rFonts w:hint="eastAsia" w:ascii="宋体" w:hAnsi="宋体" w:cs="微软雅黑"/>
          <w:color w:val="auto"/>
          <w:kern w:val="0"/>
          <w:szCs w:val="21"/>
          <w:lang w:val="en-US" w:eastAsia="zh-CN"/>
        </w:rPr>
        <w:t>上</w:t>
      </w:r>
      <w:r>
        <w:rPr>
          <w:rFonts w:hint="eastAsia" w:ascii="宋体" w:hAnsi="宋体"/>
          <w:color w:val="auto"/>
          <w:szCs w:val="21"/>
        </w:rPr>
        <w:t>发布。公告期限从本招标公告发布之日起</w:t>
      </w:r>
      <w:r>
        <w:rPr>
          <w:rFonts w:hint="eastAsia" w:ascii="宋体" w:hAnsi="宋体"/>
          <w:color w:val="auto"/>
          <w:szCs w:val="21"/>
          <w:lang w:val="en-US" w:eastAsia="zh-CN"/>
        </w:rPr>
        <w:t>3</w:t>
      </w:r>
      <w:r>
        <w:rPr>
          <w:rFonts w:hint="eastAsia" w:ascii="宋体" w:hAnsi="宋体"/>
          <w:color w:val="auto"/>
          <w:szCs w:val="21"/>
        </w:rPr>
        <w:t>个</w:t>
      </w:r>
      <w:r>
        <w:rPr>
          <w:rFonts w:hint="eastAsia" w:ascii="宋体" w:hAnsi="宋体"/>
          <w:color w:val="auto"/>
          <w:szCs w:val="21"/>
          <w:lang w:eastAsia="zh-CN"/>
        </w:rPr>
        <w:t>日历</w:t>
      </w:r>
      <w:r>
        <w:rPr>
          <w:rFonts w:hint="eastAsia" w:ascii="宋体" w:hAnsi="宋体"/>
          <w:color w:val="auto"/>
          <w:szCs w:val="21"/>
        </w:rPr>
        <w:t>日。</w:t>
      </w:r>
    </w:p>
    <w:p w14:paraId="7BC97EC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2、在其他媒体发布的招标公告，公告内容以本招标公告指定媒体发布的公告为准；公告期限自本招标公告指定媒体最先发布公告之日起算。</w:t>
      </w:r>
    </w:p>
    <w:p w14:paraId="25F8C0F6">
      <w:pPr>
        <w:adjustRightInd w:val="0"/>
        <w:snapToGrid w:val="0"/>
        <w:spacing w:line="360" w:lineRule="auto"/>
        <w:ind w:firstLine="420" w:firstLineChars="200"/>
        <w:rPr>
          <w:rFonts w:ascii="宋体" w:hAnsi="宋体"/>
          <w:color w:val="auto"/>
          <w:szCs w:val="21"/>
        </w:rPr>
      </w:pPr>
      <w:r>
        <w:rPr>
          <w:rFonts w:hint="eastAsia" w:ascii="宋体" w:hAnsi="宋体"/>
          <w:b/>
          <w:color w:val="auto"/>
          <w:szCs w:val="21"/>
          <w:lang w:val="en-US" w:eastAsia="zh-CN"/>
        </w:rPr>
        <w:t>七</w:t>
      </w:r>
      <w:r>
        <w:rPr>
          <w:rFonts w:hint="eastAsia" w:ascii="宋体" w:hAnsi="宋体"/>
          <w:b/>
          <w:color w:val="auto"/>
          <w:szCs w:val="21"/>
        </w:rPr>
        <w:t>、询问及质疑</w:t>
      </w:r>
      <w:r>
        <w:rPr>
          <w:rFonts w:hint="eastAsia" w:ascii="宋体" w:hAnsi="宋体"/>
          <w:color w:val="auto"/>
          <w:szCs w:val="21"/>
        </w:rPr>
        <w:t>：</w:t>
      </w:r>
    </w:p>
    <w:p w14:paraId="3DA203F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1、投标人对</w:t>
      </w:r>
      <w:r>
        <w:rPr>
          <w:rFonts w:hint="eastAsia" w:ascii="宋体" w:hAnsi="宋体"/>
          <w:color w:val="auto"/>
          <w:szCs w:val="21"/>
          <w:lang w:eastAsia="zh-CN"/>
        </w:rPr>
        <w:t>询价比选</w:t>
      </w:r>
      <w:r>
        <w:rPr>
          <w:rFonts w:hint="eastAsia" w:ascii="宋体" w:hAnsi="宋体"/>
          <w:color w:val="auto"/>
          <w:szCs w:val="21"/>
        </w:rPr>
        <w:t>活动事项如有疑问的，可以</w:t>
      </w:r>
      <w:r>
        <w:rPr>
          <w:rFonts w:hint="eastAsia" w:ascii="宋体" w:hAnsi="宋体"/>
          <w:color w:val="auto"/>
          <w:szCs w:val="21"/>
          <w:lang w:val="en-US" w:eastAsia="zh-CN"/>
        </w:rPr>
        <w:t>电话</w:t>
      </w:r>
      <w:r>
        <w:rPr>
          <w:rFonts w:hint="eastAsia" w:ascii="宋体" w:hAnsi="宋体"/>
          <w:color w:val="auto"/>
          <w:szCs w:val="21"/>
        </w:rPr>
        <w:t>向采购人提出询问。采购人将在</w:t>
      </w:r>
      <w:r>
        <w:rPr>
          <w:rFonts w:hint="eastAsia" w:ascii="宋体" w:hAnsi="宋体"/>
          <w:color w:val="auto"/>
          <w:szCs w:val="21"/>
          <w:lang w:val="en-US" w:eastAsia="zh-CN"/>
        </w:rPr>
        <w:t>1</w:t>
      </w:r>
      <w:r>
        <w:rPr>
          <w:rFonts w:hint="eastAsia" w:ascii="宋体" w:hAnsi="宋体"/>
          <w:color w:val="auto"/>
          <w:szCs w:val="21"/>
        </w:rPr>
        <w:t>个工作日内作出答复。</w:t>
      </w:r>
    </w:p>
    <w:p w14:paraId="78C35D4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、潜在投标人认为招标文件或招标公告使自己的合法权益受到损害的，可以在收到招标文件之日或招标公告期限届满之日起</w:t>
      </w:r>
      <w:r>
        <w:rPr>
          <w:rFonts w:hint="eastAsia" w:ascii="宋体" w:hAnsi="宋体"/>
          <w:color w:val="auto"/>
          <w:szCs w:val="21"/>
          <w:lang w:val="en-US" w:eastAsia="zh-CN"/>
        </w:rPr>
        <w:t>3</w:t>
      </w:r>
      <w:r>
        <w:rPr>
          <w:rFonts w:hint="eastAsia" w:ascii="宋体" w:hAnsi="宋体"/>
          <w:color w:val="auto"/>
          <w:szCs w:val="21"/>
        </w:rPr>
        <w:t>个工作日内，按《湖南省财政厅关于印发＜政府采购质疑答复和投诉处理操作规程＞的通知》(湘财购〔2019〕20号)规定，以纸质书面形式向采购人提出质疑。</w:t>
      </w:r>
    </w:p>
    <w:p w14:paraId="5C227ED6">
      <w:pPr>
        <w:adjustRightInd w:val="0"/>
        <w:snapToGrid w:val="0"/>
        <w:spacing w:line="360" w:lineRule="auto"/>
        <w:ind w:firstLine="420" w:firstLineChars="200"/>
        <w:rPr>
          <w:rFonts w:hint="default" w:ascii="宋体" w:hAnsi="宋体" w:eastAsia="宋体"/>
          <w:b/>
          <w:color w:val="auto"/>
          <w:szCs w:val="21"/>
          <w:lang w:val="en-US" w:eastAsia="zh-CN"/>
        </w:rPr>
      </w:pPr>
      <w:r>
        <w:rPr>
          <w:rFonts w:hint="eastAsia" w:ascii="宋体" w:hAnsi="宋体"/>
          <w:b/>
          <w:color w:val="auto"/>
          <w:szCs w:val="21"/>
          <w:lang w:val="en-US" w:eastAsia="zh-CN"/>
        </w:rPr>
        <w:t>八</w:t>
      </w:r>
      <w:r>
        <w:rPr>
          <w:rFonts w:hint="eastAsia" w:ascii="宋体" w:hAnsi="宋体"/>
          <w:b/>
          <w:color w:val="auto"/>
          <w:szCs w:val="21"/>
        </w:rPr>
        <w:t>、</w:t>
      </w:r>
      <w:r>
        <w:rPr>
          <w:rFonts w:hint="eastAsia" w:ascii="宋体" w:hAnsi="宋体"/>
          <w:b/>
          <w:color w:val="auto"/>
          <w:szCs w:val="21"/>
          <w:lang w:val="en-US" w:eastAsia="zh-CN"/>
        </w:rPr>
        <w:t>投标说明</w:t>
      </w:r>
    </w:p>
    <w:p w14:paraId="0A7EAD4D">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default" w:ascii="宋体" w:hAnsi="宋体"/>
          <w:color w:val="auto"/>
          <w:szCs w:val="21"/>
          <w:lang w:val="en-US" w:eastAsia="zh-CN"/>
        </w:rPr>
      </w:pPr>
      <w:r>
        <w:rPr>
          <w:rFonts w:hint="eastAsia" w:ascii="宋体" w:hAnsi="宋体"/>
          <w:color w:val="auto"/>
          <w:szCs w:val="21"/>
          <w:lang w:val="en-US" w:eastAsia="zh-CN"/>
        </w:rPr>
        <w:t>1、本公告选项：</w:t>
      </w:r>
      <w:r>
        <w:rPr>
          <w:rFonts w:hint="eastAsia" w:ascii="宋体" w:hAnsi="宋体"/>
          <w:color w:val="auto"/>
          <w:szCs w:val="21"/>
          <w:lang w:val="en-US" w:eastAsia="zh-CN"/>
        </w:rPr>
        <w:sym w:font="Wingdings" w:char="00FE"/>
      </w:r>
      <w:r>
        <w:rPr>
          <w:rFonts w:hint="eastAsia" w:ascii="宋体" w:hAnsi="宋体"/>
          <w:color w:val="auto"/>
          <w:szCs w:val="21"/>
          <w:lang w:val="en-US" w:eastAsia="zh-CN"/>
        </w:rPr>
        <w:t>表示选择，</w:t>
      </w:r>
      <w:r>
        <w:rPr>
          <w:rFonts w:hint="eastAsia" w:ascii="宋体" w:hAnsi="宋体"/>
          <w:color w:val="auto"/>
          <w:szCs w:val="21"/>
          <w:lang w:val="en-US" w:eastAsia="zh-CN"/>
        </w:rPr>
        <w:sym w:font="Wingdings" w:char="00A8"/>
      </w:r>
      <w:r>
        <w:rPr>
          <w:rFonts w:hint="eastAsia" w:ascii="宋体" w:hAnsi="宋体"/>
          <w:color w:val="auto"/>
          <w:szCs w:val="21"/>
          <w:lang w:val="en-US" w:eastAsia="zh-CN"/>
        </w:rPr>
        <w:t>表示未选择。</w:t>
      </w:r>
    </w:p>
    <w:p w14:paraId="54DD9FE9">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投标人参与</w:t>
      </w:r>
      <w:r>
        <w:rPr>
          <w:rFonts w:hint="eastAsia" w:ascii="宋体" w:hAnsi="宋体"/>
          <w:color w:val="auto"/>
          <w:szCs w:val="21"/>
          <w:lang w:eastAsia="zh-CN"/>
        </w:rPr>
        <w:t>询价比选</w:t>
      </w:r>
      <w:r>
        <w:rPr>
          <w:rFonts w:hint="eastAsia" w:ascii="宋体" w:hAnsi="宋体"/>
          <w:color w:val="auto"/>
          <w:szCs w:val="21"/>
        </w:rPr>
        <w:t>活动，无需向采购人缴纳任何费用。</w:t>
      </w:r>
    </w:p>
    <w:p w14:paraId="7D1CF723">
      <w:pPr>
        <w:pStyle w:val="23"/>
        <w:keepNext w:val="0"/>
        <w:keepLines w:val="0"/>
        <w:widowControl/>
        <w:suppressLineNumbers w:val="0"/>
        <w:spacing w:before="0" w:beforeAutospacing="0" w:after="0" w:afterAutospacing="0" w:line="360" w:lineRule="auto"/>
        <w:ind w:firstLine="421"/>
        <w:rPr>
          <w:rFonts w:hint="default" w:ascii="宋体" w:hAnsi="宋体" w:eastAsia="宋体" w:cs="Times New Roman"/>
          <w:b/>
          <w:color w:val="auto"/>
          <w:kern w:val="2"/>
          <w:sz w:val="21"/>
          <w:szCs w:val="21"/>
          <w:lang w:val="en-US" w:eastAsia="zh-CN" w:bidi="ar-SA"/>
        </w:rPr>
      </w:pPr>
      <w:r>
        <w:rPr>
          <w:rFonts w:hint="eastAsia" w:ascii="宋体" w:hAnsi="宋体" w:cs="Times New Roman"/>
          <w:b/>
          <w:color w:val="auto"/>
          <w:kern w:val="2"/>
          <w:sz w:val="21"/>
          <w:szCs w:val="21"/>
          <w:lang w:val="en-US" w:eastAsia="zh-CN" w:bidi="ar-SA"/>
        </w:rPr>
        <w:t>九</w:t>
      </w:r>
      <w:r>
        <w:rPr>
          <w:rFonts w:hint="eastAsia" w:ascii="宋体" w:hAnsi="宋体" w:eastAsia="宋体" w:cs="Times New Roman"/>
          <w:b/>
          <w:color w:val="auto"/>
          <w:kern w:val="2"/>
          <w:sz w:val="21"/>
          <w:szCs w:val="21"/>
          <w:lang w:val="en-US" w:eastAsia="zh-CN" w:bidi="ar-SA"/>
        </w:rPr>
        <w:t>、其他</w:t>
      </w:r>
    </w:p>
    <w:p w14:paraId="4F93DD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Calibri" w:hAnsi="Calibri" w:cs="Calibri"/>
          <w:b w:val="0"/>
          <w:bCs w:val="0"/>
          <w:i w:val="0"/>
          <w:iCs w:val="0"/>
          <w:color w:val="auto"/>
          <w:sz w:val="21"/>
          <w:szCs w:val="21"/>
        </w:rPr>
      </w:pPr>
      <w:r>
        <w:rPr>
          <w:rFonts w:hint="eastAsia" w:ascii="宋体" w:hAnsi="宋体" w:cs="宋体"/>
          <w:b w:val="0"/>
          <w:bCs w:val="0"/>
          <w:i w:val="0"/>
          <w:iCs w:val="0"/>
          <w:color w:val="auto"/>
          <w:sz w:val="21"/>
          <w:szCs w:val="21"/>
          <w:lang w:val="en-US" w:eastAsia="zh-CN"/>
        </w:rPr>
        <w:t>1</w:t>
      </w:r>
      <w:r>
        <w:rPr>
          <w:rFonts w:hint="eastAsia" w:ascii="宋体" w:hAnsi="宋体" w:eastAsia="宋体" w:cs="宋体"/>
          <w:b w:val="0"/>
          <w:bCs w:val="0"/>
          <w:i w:val="0"/>
          <w:iCs w:val="0"/>
          <w:color w:val="auto"/>
          <w:sz w:val="21"/>
          <w:szCs w:val="21"/>
        </w:rPr>
        <w:t>、澄清注意事项：</w:t>
      </w:r>
      <w:r>
        <w:rPr>
          <w:rFonts w:hint="eastAsia" w:ascii="宋体" w:hAnsi="宋体" w:cs="宋体"/>
          <w:b w:val="0"/>
          <w:bCs w:val="0"/>
          <w:i w:val="0"/>
          <w:iCs w:val="0"/>
          <w:color w:val="auto"/>
          <w:sz w:val="21"/>
          <w:szCs w:val="21"/>
          <w:lang w:eastAsia="zh-CN"/>
        </w:rPr>
        <w:t>评标委员会</w:t>
      </w:r>
      <w:r>
        <w:rPr>
          <w:rFonts w:hint="eastAsia" w:ascii="宋体" w:hAnsi="宋体" w:eastAsia="宋体" w:cs="宋体"/>
          <w:b w:val="0"/>
          <w:bCs w:val="0"/>
          <w:i w:val="0"/>
          <w:iCs w:val="0"/>
          <w:color w:val="auto"/>
          <w:sz w:val="21"/>
          <w:szCs w:val="21"/>
        </w:rPr>
        <w:t>专家在评标室，对需要进行答疑的单位进行提问，投标单位在</w:t>
      </w:r>
      <w:r>
        <w:rPr>
          <w:rFonts w:hint="eastAsia" w:ascii="宋体" w:hAnsi="宋体" w:cs="宋体"/>
          <w:b w:val="0"/>
          <w:bCs w:val="0"/>
          <w:i w:val="0"/>
          <w:iCs w:val="0"/>
          <w:color w:val="auto"/>
          <w:sz w:val="21"/>
          <w:szCs w:val="21"/>
          <w:lang w:eastAsia="zh-CN"/>
        </w:rPr>
        <w:t>询价比选会现场</w:t>
      </w:r>
      <w:r>
        <w:rPr>
          <w:rFonts w:hint="eastAsia" w:ascii="宋体" w:hAnsi="宋体" w:eastAsia="宋体" w:cs="宋体"/>
          <w:b w:val="0"/>
          <w:bCs w:val="0"/>
          <w:i w:val="0"/>
          <w:iCs w:val="0"/>
          <w:color w:val="auto"/>
          <w:sz w:val="21"/>
          <w:szCs w:val="21"/>
        </w:rPr>
        <w:t>规定时间内进行澄清。</w:t>
      </w:r>
    </w:p>
    <w:p w14:paraId="5C22BCF2">
      <w:pPr>
        <w:adjustRightInd w:val="0"/>
        <w:snapToGrid w:val="0"/>
        <w:spacing w:line="360" w:lineRule="auto"/>
        <w:ind w:firstLine="420" w:firstLineChars="200"/>
        <w:rPr>
          <w:rFonts w:hint="eastAsia" w:ascii="宋体" w:hAnsi="宋体" w:eastAsia="宋体" w:cs="宋体"/>
          <w:b w:val="0"/>
          <w:bCs w:val="0"/>
          <w:i w:val="0"/>
          <w:iCs w:val="0"/>
          <w:color w:val="auto"/>
          <w:sz w:val="21"/>
          <w:szCs w:val="21"/>
        </w:rPr>
      </w:pPr>
      <w:r>
        <w:rPr>
          <w:rFonts w:hint="eastAsia" w:ascii="宋体" w:hAnsi="宋体" w:cs="宋体"/>
          <w:b w:val="0"/>
          <w:bCs w:val="0"/>
          <w:i w:val="0"/>
          <w:iCs w:val="0"/>
          <w:color w:val="auto"/>
          <w:sz w:val="21"/>
          <w:szCs w:val="21"/>
          <w:lang w:val="en-US" w:eastAsia="zh-CN"/>
        </w:rPr>
        <w:t>2</w:t>
      </w:r>
      <w:r>
        <w:rPr>
          <w:rFonts w:hint="eastAsia" w:ascii="宋体" w:hAnsi="宋体" w:eastAsia="宋体" w:cs="宋体"/>
          <w:b w:val="0"/>
          <w:bCs w:val="0"/>
          <w:i w:val="0"/>
          <w:iCs w:val="0"/>
          <w:color w:val="auto"/>
          <w:sz w:val="21"/>
          <w:szCs w:val="21"/>
        </w:rPr>
        <w:t>、如遇</w:t>
      </w:r>
      <w:r>
        <w:rPr>
          <w:rFonts w:hint="eastAsia" w:ascii="宋体" w:hAnsi="宋体" w:cs="宋体"/>
          <w:b w:val="0"/>
          <w:bCs w:val="0"/>
          <w:i w:val="0"/>
          <w:iCs w:val="0"/>
          <w:color w:val="auto"/>
          <w:sz w:val="21"/>
          <w:szCs w:val="21"/>
          <w:lang w:eastAsia="zh-CN"/>
        </w:rPr>
        <w:t>特殊情况、</w:t>
      </w:r>
      <w:r>
        <w:rPr>
          <w:rFonts w:hint="eastAsia" w:ascii="宋体" w:hAnsi="宋体" w:eastAsia="宋体" w:cs="宋体"/>
          <w:b w:val="0"/>
          <w:bCs w:val="0"/>
          <w:i w:val="0"/>
          <w:iCs w:val="0"/>
          <w:color w:val="auto"/>
          <w:sz w:val="21"/>
          <w:szCs w:val="21"/>
        </w:rPr>
        <w:t>不可抗力的因素需要延期开标的招标人将在投标截止时间前另行通知。</w:t>
      </w:r>
    </w:p>
    <w:p w14:paraId="49743E41">
      <w:pPr>
        <w:adjustRightInd w:val="0"/>
        <w:snapToGrid w:val="0"/>
        <w:spacing w:line="360" w:lineRule="auto"/>
        <w:ind w:firstLine="411" w:firstLineChars="196"/>
        <w:rPr>
          <w:rFonts w:ascii="宋体" w:hAnsi="宋体"/>
          <w:b/>
          <w:bCs/>
          <w:color w:val="auto"/>
          <w:szCs w:val="21"/>
        </w:rPr>
      </w:pPr>
      <w:r>
        <w:rPr>
          <w:rFonts w:hint="eastAsia" w:ascii="宋体" w:hAnsi="宋体"/>
          <w:b/>
          <w:color w:val="auto"/>
          <w:szCs w:val="21"/>
        </w:rPr>
        <w:t>十</w:t>
      </w:r>
      <w:r>
        <w:rPr>
          <w:rFonts w:hint="eastAsia" w:ascii="宋体" w:hAnsi="宋体"/>
          <w:b/>
          <w:bCs/>
          <w:color w:val="auto"/>
          <w:szCs w:val="21"/>
        </w:rPr>
        <w:t>、</w:t>
      </w:r>
      <w:r>
        <w:rPr>
          <w:rFonts w:hint="eastAsia" w:ascii="宋体" w:hAnsi="宋体"/>
          <w:b/>
          <w:bCs/>
          <w:color w:val="auto"/>
          <w:szCs w:val="21"/>
          <w:lang w:eastAsia="zh-CN"/>
        </w:rPr>
        <w:t>招标</w:t>
      </w:r>
      <w:r>
        <w:rPr>
          <w:rFonts w:hint="eastAsia" w:ascii="宋体" w:hAnsi="宋体"/>
          <w:b/>
          <w:bCs/>
          <w:color w:val="auto"/>
          <w:szCs w:val="21"/>
        </w:rPr>
        <w:t>人、</w:t>
      </w:r>
      <w:r>
        <w:rPr>
          <w:rFonts w:hint="eastAsia" w:ascii="宋体" w:hAnsi="宋体"/>
          <w:b/>
          <w:bCs/>
          <w:color w:val="auto"/>
          <w:szCs w:val="21"/>
          <w:lang w:eastAsia="zh-CN"/>
        </w:rPr>
        <w:t>监督部门</w:t>
      </w:r>
      <w:r>
        <w:rPr>
          <w:rFonts w:hint="eastAsia" w:ascii="宋体" w:hAnsi="宋体"/>
          <w:b/>
          <w:bCs/>
          <w:color w:val="auto"/>
          <w:szCs w:val="21"/>
        </w:rPr>
        <w:t>的名称、地址和联系方法</w:t>
      </w:r>
    </w:p>
    <w:p w14:paraId="14BADB89">
      <w:pPr>
        <w:adjustRightInd w:val="0"/>
        <w:snapToGrid w:val="0"/>
        <w:spacing w:line="360" w:lineRule="auto"/>
        <w:ind w:firstLine="411" w:firstLineChars="196"/>
        <w:rPr>
          <w:rFonts w:ascii="宋体" w:hAnsi="宋体"/>
          <w:b/>
          <w:bCs/>
          <w:color w:val="auto"/>
          <w:szCs w:val="21"/>
        </w:rPr>
      </w:pPr>
      <w:r>
        <w:rPr>
          <w:rFonts w:hint="eastAsia" w:ascii="宋体" w:hAnsi="宋体"/>
          <w:b/>
          <w:bCs/>
          <w:color w:val="auto"/>
          <w:szCs w:val="21"/>
        </w:rPr>
        <w:t>1</w:t>
      </w:r>
      <w:r>
        <w:rPr>
          <w:rFonts w:hint="eastAsia" w:ascii="宋体" w:hAnsi="宋体"/>
          <w:color w:val="auto"/>
          <w:szCs w:val="21"/>
        </w:rPr>
        <w:t>、</w:t>
      </w:r>
      <w:r>
        <w:rPr>
          <w:rFonts w:hint="eastAsia" w:ascii="宋体" w:hAnsi="宋体"/>
          <w:b/>
          <w:bCs/>
          <w:color w:val="auto"/>
          <w:szCs w:val="21"/>
          <w:lang w:eastAsia="zh-CN"/>
        </w:rPr>
        <w:t>招标（采购）</w:t>
      </w:r>
      <w:r>
        <w:rPr>
          <w:rFonts w:hint="eastAsia" w:ascii="宋体" w:hAnsi="宋体"/>
          <w:b/>
          <w:bCs/>
          <w:color w:val="auto"/>
          <w:szCs w:val="21"/>
        </w:rPr>
        <w:t>人信息</w:t>
      </w:r>
    </w:p>
    <w:p w14:paraId="08EBAD39">
      <w:pPr>
        <w:adjustRightInd w:val="0"/>
        <w:snapToGrid w:val="0"/>
        <w:spacing w:line="360" w:lineRule="auto"/>
        <w:ind w:firstLine="411" w:firstLineChars="196"/>
        <w:rPr>
          <w:rFonts w:ascii="宋体" w:hAnsi="宋体"/>
          <w:color w:val="auto"/>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color w:val="auto"/>
          <w:szCs w:val="21"/>
          <w:u w:val="single"/>
          <w:lang w:eastAsia="zh-CN"/>
        </w:rPr>
        <w:t>娄底市华居建设有限公司</w:t>
      </w:r>
    </w:p>
    <w:p w14:paraId="4BD6733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（2）地  址：</w:t>
      </w:r>
      <w:r>
        <w:rPr>
          <w:rFonts w:hint="eastAsia" w:ascii="宋体" w:hAnsi="宋体"/>
          <w:color w:val="auto"/>
          <w:szCs w:val="21"/>
          <w:u w:val="single"/>
          <w:lang w:val="en-US" w:eastAsia="zh-CN"/>
        </w:rPr>
        <w:t>娄底市静安街百弘学府城B6栋</w:t>
      </w:r>
    </w:p>
    <w:p w14:paraId="1198A49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（3）联系人：</w:t>
      </w:r>
      <w:r>
        <w:rPr>
          <w:rFonts w:hint="eastAsia" w:ascii="宋体" w:hAnsi="宋体"/>
          <w:color w:val="auto"/>
          <w:szCs w:val="21"/>
          <w:u w:val="single"/>
          <w:lang w:val="en-US" w:eastAsia="zh-CN"/>
        </w:rPr>
        <w:t>苏先生</w:t>
      </w:r>
      <w:r>
        <w:rPr>
          <w:rFonts w:hint="eastAsia" w:ascii="宋体" w:hAnsi="宋体"/>
          <w:color w:val="auto"/>
          <w:szCs w:val="21"/>
          <w:u w:val="single"/>
        </w:rPr>
        <w:t xml:space="preserve">     </w:t>
      </w:r>
    </w:p>
    <w:p w14:paraId="6CAAE5C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（4）邮  编：</w:t>
      </w:r>
      <w:r>
        <w:rPr>
          <w:rFonts w:hint="eastAsia" w:ascii="宋体" w:hAnsi="宋体"/>
          <w:color w:val="auto"/>
          <w:szCs w:val="21"/>
          <w:u w:val="single"/>
          <w:lang w:val="en-US" w:eastAsia="zh-CN"/>
        </w:rPr>
        <w:t>417000</w:t>
      </w:r>
      <w:r>
        <w:rPr>
          <w:rFonts w:hint="eastAsia" w:ascii="宋体" w:hAnsi="宋体"/>
          <w:color w:val="auto"/>
          <w:szCs w:val="21"/>
          <w:u w:val="single"/>
        </w:rPr>
        <w:t xml:space="preserve">     </w:t>
      </w:r>
    </w:p>
    <w:p w14:paraId="2B0D71F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（5）电  话：</w:t>
      </w:r>
      <w:r>
        <w:rPr>
          <w:rFonts w:hint="eastAsia" w:ascii="宋体" w:hAnsi="宋体" w:eastAsia="宋体" w:cs="Times New Roman"/>
          <w:color w:val="auto"/>
          <w:szCs w:val="21"/>
          <w:u w:val="single"/>
          <w:lang w:val="en-US" w:eastAsia="zh-CN"/>
        </w:rPr>
        <w:t>0738-8186022</w:t>
      </w:r>
      <w:r>
        <w:rPr>
          <w:rFonts w:hint="eastAsia" w:ascii="宋体" w:hAnsi="宋体" w:cs="Times New Roman"/>
          <w:color w:val="auto"/>
          <w:szCs w:val="21"/>
          <w:u w:val="single"/>
          <w:lang w:val="en-US" w:eastAsia="zh-CN"/>
        </w:rPr>
        <w:t>/18711885020</w:t>
      </w:r>
    </w:p>
    <w:p w14:paraId="16D2D1E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420" w:firstLineChars="200"/>
        <w:jc w:val="left"/>
        <w:rPr>
          <w:rFonts w:hint="eastAsia" w:ascii="宋体" w:hAnsi="宋体" w:eastAsia="宋体" w:cs="Times New Roman"/>
          <w:b/>
          <w:bCs/>
          <w:color w:val="auto"/>
          <w:kern w:val="2"/>
          <w:sz w:val="21"/>
          <w:szCs w:val="21"/>
          <w:lang w:val="en-US" w:eastAsia="zh-CN" w:bidi="ar-SA"/>
        </w:rPr>
      </w:pPr>
      <w:bookmarkStart w:id="11" w:name="_Toc17688"/>
      <w:r>
        <w:rPr>
          <w:rFonts w:hint="eastAsia" w:ascii="宋体" w:hAnsi="宋体" w:cs="Times New Roman"/>
          <w:b/>
          <w:bCs/>
          <w:color w:val="auto"/>
          <w:kern w:val="2"/>
          <w:sz w:val="21"/>
          <w:szCs w:val="21"/>
          <w:lang w:val="en-US" w:eastAsia="zh-CN" w:bidi="ar-SA"/>
        </w:rPr>
        <w:t>2</w:t>
      </w:r>
      <w:r>
        <w:rPr>
          <w:rFonts w:hint="eastAsia" w:ascii="宋体" w:hAnsi="宋体" w:eastAsia="宋体" w:cs="Times New Roman"/>
          <w:b/>
          <w:bCs/>
          <w:color w:val="auto"/>
          <w:kern w:val="2"/>
          <w:sz w:val="21"/>
          <w:szCs w:val="21"/>
          <w:lang w:val="en-US" w:eastAsia="zh-CN" w:bidi="ar-SA"/>
        </w:rPr>
        <w:t>、监管部门名称和电话</w:t>
      </w:r>
    </w:p>
    <w:p w14:paraId="08941AF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420" w:firstLineChars="200"/>
        <w:jc w:val="left"/>
        <w:rPr>
          <w:rFonts w:hint="eastAsia" w:ascii="宋体" w:hAnsi="宋体" w:eastAsia="宋体" w:cs="Times New Roman"/>
          <w:b/>
          <w:bCs/>
          <w:color w:val="auto"/>
          <w:kern w:val="2"/>
          <w:sz w:val="21"/>
          <w:szCs w:val="21"/>
          <w:lang w:val="en-US" w:eastAsia="zh-CN" w:bidi="ar-SA"/>
        </w:rPr>
      </w:pPr>
    </w:p>
    <w:p w14:paraId="09D85070">
      <w:pPr>
        <w:adjustRightInd w:val="0"/>
        <w:snapToGrid w:val="0"/>
        <w:spacing w:line="360" w:lineRule="auto"/>
        <w:ind w:firstLine="420" w:firstLineChars="200"/>
        <w:rPr>
          <w:rFonts w:hint="eastAsia" w:ascii="宋体" w:hAnsi="宋体" w:eastAsia="宋体"/>
          <w:color w:val="auto"/>
          <w:szCs w:val="21"/>
          <w:u w:val="single"/>
          <w:lang w:val="en-US" w:eastAsia="zh-CN"/>
        </w:rPr>
      </w:pPr>
      <w:r>
        <w:rPr>
          <w:rFonts w:hint="eastAsia" w:ascii="宋体" w:hAnsi="宋体"/>
          <w:color w:val="auto"/>
          <w:szCs w:val="21"/>
        </w:rPr>
        <w:t>（1）监督机构：</w:t>
      </w:r>
      <w:r>
        <w:rPr>
          <w:rFonts w:hint="eastAsia" w:ascii="宋体" w:hAnsi="宋体"/>
          <w:color w:val="auto"/>
          <w:szCs w:val="21"/>
          <w:u w:val="single"/>
          <w:lang w:eastAsia="zh-CN"/>
        </w:rPr>
        <w:t>娄底市万宝新区开发投资集团有限公司纪检监察室</w:t>
      </w:r>
    </w:p>
    <w:p w14:paraId="3E25833C">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（2）联系人：</w:t>
      </w:r>
      <w:r>
        <w:rPr>
          <w:rFonts w:hint="eastAsia" w:ascii="宋体" w:hAnsi="宋体"/>
          <w:color w:val="auto"/>
          <w:szCs w:val="21"/>
          <w:u w:val="single"/>
          <w:lang w:val="en-US" w:eastAsia="zh-CN"/>
        </w:rPr>
        <w:t>杨先生</w:t>
      </w:r>
    </w:p>
    <w:p w14:paraId="624AFE72">
      <w:pPr>
        <w:adjustRightInd w:val="0"/>
        <w:snapToGrid w:val="0"/>
        <w:spacing w:line="360" w:lineRule="auto"/>
        <w:ind w:firstLine="420" w:firstLineChars="200"/>
        <w:rPr>
          <w:rFonts w:hint="default" w:ascii="宋体" w:hAnsi="宋体"/>
          <w:color w:val="auto"/>
          <w:szCs w:val="21"/>
          <w:lang w:val="en-US"/>
        </w:rPr>
      </w:pPr>
      <w:r>
        <w:rPr>
          <w:rFonts w:hint="eastAsia" w:ascii="宋体" w:hAnsi="宋体"/>
          <w:color w:val="auto"/>
          <w:szCs w:val="21"/>
        </w:rPr>
        <w:t>（3）电 话：</w:t>
      </w:r>
      <w:r>
        <w:rPr>
          <w:rFonts w:hint="eastAsia" w:ascii="宋体" w:hAnsi="宋体"/>
          <w:color w:val="auto"/>
          <w:szCs w:val="21"/>
          <w:u w:val="single"/>
          <w:lang w:val="en-US" w:eastAsia="zh-CN"/>
        </w:rPr>
        <w:t xml:space="preserve">13762847088 </w:t>
      </w:r>
    </w:p>
    <w:p w14:paraId="1595729F">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br w:type="page"/>
      </w:r>
    </w:p>
    <w:p w14:paraId="3CC1E88F">
      <w:pPr>
        <w:pStyle w:val="4"/>
        <w:bidi w:val="0"/>
        <w:rPr>
          <w:color w:val="auto"/>
        </w:rPr>
      </w:pPr>
      <w:bookmarkStart w:id="12" w:name="_Toc3123"/>
      <w:bookmarkStart w:id="13" w:name="_Toc929"/>
      <w:r>
        <w:rPr>
          <w:rFonts w:hint="eastAsia"/>
          <w:color w:val="auto"/>
        </w:rPr>
        <w:t>第二章 投标须知</w:t>
      </w:r>
      <w:bookmarkEnd w:id="0"/>
      <w:bookmarkEnd w:id="1"/>
      <w:bookmarkEnd w:id="2"/>
      <w:bookmarkEnd w:id="3"/>
      <w:bookmarkEnd w:id="4"/>
      <w:bookmarkEnd w:id="5"/>
      <w:bookmarkEnd w:id="6"/>
      <w:bookmarkEnd w:id="7"/>
      <w:bookmarkEnd w:id="11"/>
      <w:bookmarkEnd w:id="12"/>
      <w:bookmarkEnd w:id="13"/>
    </w:p>
    <w:p w14:paraId="2B4B8F64">
      <w:pPr>
        <w:pStyle w:val="5"/>
        <w:adjustRightInd w:val="0"/>
        <w:snapToGrid w:val="0"/>
        <w:jc w:val="center"/>
        <w:rPr>
          <w:rFonts w:ascii="黑体" w:hAnsi="华文中宋" w:eastAsia="黑体"/>
          <w:color w:val="auto"/>
          <w:spacing w:val="100"/>
          <w:sz w:val="28"/>
          <w:szCs w:val="28"/>
        </w:rPr>
      </w:pPr>
      <w:bookmarkStart w:id="14" w:name="_Toc21262"/>
      <w:bookmarkStart w:id="15" w:name="_Toc4898"/>
      <w:r>
        <w:rPr>
          <w:rFonts w:hint="eastAsia" w:ascii="黑体" w:hAnsi="华文中宋" w:eastAsia="黑体"/>
          <w:color w:val="auto"/>
          <w:sz w:val="28"/>
          <w:szCs w:val="28"/>
        </w:rPr>
        <w:t>第一节 投标须知前附表</w:t>
      </w:r>
      <w:bookmarkEnd w:id="14"/>
      <w:bookmarkEnd w:id="15"/>
    </w:p>
    <w:p w14:paraId="36ACE3F0">
      <w:pPr>
        <w:adjustRightInd w:val="0"/>
        <w:snapToGrid w:val="0"/>
        <w:spacing w:line="360" w:lineRule="auto"/>
        <w:ind w:right="31" w:rightChars="15"/>
        <w:jc w:val="right"/>
        <w:rPr>
          <w:rFonts w:ascii="宋体" w:hAnsi="宋体" w:eastAsia="宋体"/>
          <w:i/>
          <w:color w:val="auto"/>
          <w:szCs w:val="21"/>
        </w:rPr>
      </w:pPr>
      <w:r>
        <w:rPr>
          <w:rFonts w:hint="eastAsia" w:ascii="宋体" w:hAnsi="宋体" w:eastAsia="宋体"/>
          <w:i/>
          <w:color w:val="auto"/>
          <w:szCs w:val="21"/>
        </w:rPr>
        <w:t>注：本项目启用的条款在“编列内容规定”栏内以“</w:t>
      </w:r>
      <w:r>
        <w:rPr>
          <w:rFonts w:hint="eastAsia" w:asciiTheme="minorEastAsia" w:hAnsiTheme="minorEastAsia" w:eastAsiaTheme="minorEastAsia"/>
          <w:i/>
          <w:color w:val="auto"/>
          <w:szCs w:val="21"/>
        </w:rPr>
        <w:t>■</w:t>
      </w:r>
      <w:r>
        <w:rPr>
          <w:rFonts w:hint="eastAsia" w:ascii="宋体" w:hAnsi="宋体" w:eastAsia="宋体"/>
          <w:i/>
          <w:color w:val="auto"/>
          <w:szCs w:val="21"/>
        </w:rPr>
        <w:t>”标注。</w:t>
      </w:r>
    </w:p>
    <w:tbl>
      <w:tblPr>
        <w:tblStyle w:val="25"/>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863"/>
        <w:gridCol w:w="4508"/>
      </w:tblGrid>
      <w:tr w14:paraId="4B9B5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560" w:type="dxa"/>
            <w:noWrap w:val="0"/>
            <w:vAlign w:val="center"/>
          </w:tcPr>
          <w:p w14:paraId="227F1FAA">
            <w:pPr>
              <w:adjustRightInd w:val="0"/>
              <w:snapToGrid w:val="0"/>
              <w:spacing w:line="360" w:lineRule="auto"/>
              <w:jc w:val="center"/>
              <w:rPr>
                <w:rFonts w:ascii="宋体" w:hAnsi="宋体" w:eastAsia="宋体"/>
                <w:b/>
                <w:color w:val="auto"/>
                <w:szCs w:val="21"/>
              </w:rPr>
            </w:pPr>
            <w:r>
              <w:rPr>
                <w:rFonts w:hint="eastAsia" w:ascii="宋体" w:hAnsi="宋体" w:eastAsia="宋体"/>
                <w:b/>
                <w:color w:val="auto"/>
                <w:szCs w:val="21"/>
              </w:rPr>
              <w:t>条款号</w:t>
            </w:r>
          </w:p>
        </w:tc>
        <w:tc>
          <w:tcPr>
            <w:tcW w:w="2863" w:type="dxa"/>
            <w:noWrap w:val="0"/>
            <w:vAlign w:val="center"/>
          </w:tcPr>
          <w:p w14:paraId="32779F2A">
            <w:pPr>
              <w:adjustRightInd w:val="0"/>
              <w:snapToGrid w:val="0"/>
              <w:spacing w:line="360" w:lineRule="auto"/>
              <w:jc w:val="center"/>
              <w:rPr>
                <w:rFonts w:ascii="宋体" w:hAnsi="宋体" w:eastAsia="宋体"/>
                <w:b/>
                <w:color w:val="auto"/>
                <w:szCs w:val="21"/>
              </w:rPr>
            </w:pPr>
            <w:r>
              <w:rPr>
                <w:rFonts w:hint="eastAsia" w:ascii="宋体" w:hAnsi="宋体" w:eastAsia="宋体"/>
                <w:b/>
                <w:color w:val="auto"/>
                <w:szCs w:val="21"/>
              </w:rPr>
              <w:t>条款名称</w:t>
            </w:r>
          </w:p>
        </w:tc>
        <w:tc>
          <w:tcPr>
            <w:tcW w:w="4508" w:type="dxa"/>
            <w:noWrap w:val="0"/>
            <w:vAlign w:val="center"/>
          </w:tcPr>
          <w:p w14:paraId="1C7BE36B">
            <w:pPr>
              <w:adjustRightInd w:val="0"/>
              <w:snapToGrid w:val="0"/>
              <w:spacing w:line="360" w:lineRule="auto"/>
              <w:jc w:val="center"/>
              <w:rPr>
                <w:rFonts w:ascii="宋体" w:hAnsi="宋体" w:eastAsia="宋体"/>
                <w:b/>
                <w:color w:val="auto"/>
                <w:szCs w:val="21"/>
              </w:rPr>
            </w:pPr>
            <w:r>
              <w:rPr>
                <w:rFonts w:hint="eastAsia" w:ascii="宋体" w:hAnsi="宋体" w:eastAsia="宋体"/>
                <w:b/>
                <w:color w:val="auto"/>
                <w:szCs w:val="21"/>
              </w:rPr>
              <w:t>编列内容规定</w:t>
            </w:r>
          </w:p>
        </w:tc>
      </w:tr>
      <w:tr w14:paraId="52798E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noWrap w:val="0"/>
            <w:vAlign w:val="center"/>
          </w:tcPr>
          <w:p w14:paraId="120681A3">
            <w:pPr>
              <w:adjustRightInd w:val="0"/>
              <w:snapToGrid w:val="0"/>
              <w:spacing w:line="360" w:lineRule="auto"/>
              <w:rPr>
                <w:rFonts w:ascii="宋体" w:hAnsi="宋体" w:eastAsia="宋体"/>
                <w:color w:val="auto"/>
                <w:szCs w:val="21"/>
              </w:rPr>
            </w:pPr>
            <w:r>
              <w:rPr>
                <w:rFonts w:hint="eastAsia" w:ascii="宋体" w:hAnsi="宋体" w:eastAsia="宋体"/>
                <w:b/>
                <w:color w:val="auto"/>
                <w:szCs w:val="21"/>
              </w:rPr>
              <w:t>一、说明</w:t>
            </w:r>
          </w:p>
        </w:tc>
      </w:tr>
      <w:tr w14:paraId="5163E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4985B781">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第3.1</w:t>
            </w:r>
            <w:r>
              <w:rPr>
                <w:rFonts w:hint="eastAsia" w:ascii="宋体" w:hAnsi="宋体" w:eastAsia="宋体" w:cs="宋体"/>
                <w:color w:val="auto"/>
                <w:kern w:val="0"/>
                <w:szCs w:val="21"/>
                <w:lang w:val="zh-CN"/>
              </w:rPr>
              <w:t>款</w:t>
            </w:r>
          </w:p>
        </w:tc>
        <w:tc>
          <w:tcPr>
            <w:tcW w:w="2863" w:type="dxa"/>
            <w:noWrap w:val="0"/>
            <w:vAlign w:val="center"/>
          </w:tcPr>
          <w:p w14:paraId="5B35C095">
            <w:pPr>
              <w:adjustRightInd w:val="0"/>
              <w:snapToGrid w:val="0"/>
              <w:spacing w:line="360" w:lineRule="auto"/>
              <w:jc w:val="left"/>
              <w:rPr>
                <w:rFonts w:hAnsi="宋体"/>
                <w:color w:val="auto"/>
                <w:szCs w:val="21"/>
              </w:rPr>
            </w:pPr>
            <w:r>
              <w:rPr>
                <w:rFonts w:hint="eastAsia" w:ascii="宋体" w:hAnsi="宋体" w:eastAsia="宋体"/>
                <w:color w:val="auto"/>
                <w:szCs w:val="21"/>
              </w:rPr>
              <w:t>投标人资格条件</w:t>
            </w:r>
          </w:p>
        </w:tc>
        <w:tc>
          <w:tcPr>
            <w:tcW w:w="4508" w:type="dxa"/>
            <w:noWrap w:val="0"/>
            <w:vAlign w:val="center"/>
          </w:tcPr>
          <w:p w14:paraId="26CA2E6A">
            <w:pPr>
              <w:adjustRightInd w:val="0"/>
              <w:snapToGrid w:val="0"/>
              <w:spacing w:line="420" w:lineRule="exact"/>
              <w:rPr>
                <w:rFonts w:hint="default" w:hAnsi="宋体" w:eastAsia="宋体"/>
                <w:color w:val="auto"/>
                <w:szCs w:val="21"/>
                <w:lang w:val="en-US" w:eastAsia="zh-CN"/>
              </w:rPr>
            </w:pPr>
            <w:r>
              <w:rPr>
                <w:rFonts w:hint="eastAsia" w:hAnsi="宋体"/>
                <w:color w:val="auto"/>
                <w:szCs w:val="21"/>
                <w:lang w:val="en-US" w:eastAsia="zh-CN"/>
              </w:rPr>
              <w:t>详见投标邀请</w:t>
            </w:r>
          </w:p>
        </w:tc>
      </w:tr>
      <w:tr w14:paraId="004740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53EF743E">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第5.1</w:t>
            </w:r>
            <w:r>
              <w:rPr>
                <w:rFonts w:hint="eastAsia" w:ascii="宋体" w:hAnsi="宋体" w:eastAsia="宋体" w:cs="宋体"/>
                <w:color w:val="auto"/>
                <w:kern w:val="0"/>
                <w:szCs w:val="21"/>
                <w:lang w:val="zh-CN"/>
              </w:rPr>
              <w:t>款</w:t>
            </w:r>
          </w:p>
        </w:tc>
        <w:tc>
          <w:tcPr>
            <w:tcW w:w="2863" w:type="dxa"/>
            <w:noWrap w:val="0"/>
            <w:vAlign w:val="center"/>
          </w:tcPr>
          <w:p w14:paraId="142F75FD">
            <w:pPr>
              <w:adjustRightInd w:val="0"/>
              <w:snapToGrid w:val="0"/>
              <w:spacing w:line="360" w:lineRule="auto"/>
              <w:jc w:val="left"/>
              <w:rPr>
                <w:rFonts w:hAnsi="宋体"/>
                <w:color w:val="auto"/>
                <w:szCs w:val="21"/>
              </w:rPr>
            </w:pPr>
            <w:r>
              <w:rPr>
                <w:rFonts w:hint="eastAsia" w:ascii="宋体" w:hAnsi="宋体" w:eastAsia="宋体"/>
                <w:color w:val="auto"/>
                <w:szCs w:val="21"/>
              </w:rPr>
              <w:t>招标文件提供期限</w:t>
            </w:r>
          </w:p>
        </w:tc>
        <w:tc>
          <w:tcPr>
            <w:tcW w:w="4508" w:type="dxa"/>
            <w:noWrap w:val="0"/>
            <w:vAlign w:val="center"/>
          </w:tcPr>
          <w:p w14:paraId="68D60AB9">
            <w:pPr>
              <w:adjustRightInd w:val="0"/>
              <w:snapToGrid w:val="0"/>
              <w:spacing w:line="420" w:lineRule="exact"/>
              <w:rPr>
                <w:rFonts w:hAnsi="宋体"/>
                <w:color w:val="auto"/>
                <w:szCs w:val="21"/>
              </w:rPr>
            </w:pPr>
            <w:r>
              <w:rPr>
                <w:rFonts w:hint="eastAsia" w:ascii="宋体" w:hAnsi="宋体" w:cs="宋体"/>
                <w:color w:val="auto"/>
                <w:szCs w:val="21"/>
                <w:u w:val="none"/>
              </w:rPr>
              <w:t>即</w:t>
            </w:r>
            <w:r>
              <w:rPr>
                <w:rFonts w:hint="eastAsia" w:ascii="宋体" w:hAnsi="宋体" w:cs="宋体"/>
                <w:color w:val="auto"/>
                <w:szCs w:val="21"/>
              </w:rPr>
              <w:t>日起至</w:t>
            </w:r>
            <w:r>
              <w:rPr>
                <w:rFonts w:hint="eastAsia" w:ascii="宋体" w:hAnsi="宋体" w:cs="宋体"/>
                <w:color w:val="auto"/>
                <w:szCs w:val="21"/>
                <w:u w:val="single"/>
                <w:lang w:eastAsia="zh-CN"/>
              </w:rPr>
              <w:t>投标截止日前</w:t>
            </w:r>
            <w:r>
              <w:rPr>
                <w:rFonts w:hint="eastAsia" w:ascii="宋体" w:hAnsi="宋体" w:cs="宋体"/>
                <w:color w:val="auto"/>
                <w:szCs w:val="21"/>
              </w:rPr>
              <w:t>。</w:t>
            </w:r>
          </w:p>
        </w:tc>
      </w:tr>
      <w:tr w14:paraId="2D16D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9C1D0FF">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第5.2</w:t>
            </w:r>
            <w:r>
              <w:rPr>
                <w:rFonts w:hint="eastAsia" w:ascii="宋体" w:hAnsi="宋体" w:eastAsia="宋体" w:cs="宋体"/>
                <w:color w:val="auto"/>
                <w:kern w:val="0"/>
                <w:szCs w:val="21"/>
                <w:lang w:val="zh-CN"/>
              </w:rPr>
              <w:t>款</w:t>
            </w:r>
          </w:p>
        </w:tc>
        <w:tc>
          <w:tcPr>
            <w:tcW w:w="2863" w:type="dxa"/>
            <w:noWrap w:val="0"/>
            <w:vAlign w:val="center"/>
          </w:tcPr>
          <w:p w14:paraId="2B9ADA80">
            <w:pPr>
              <w:adjustRightInd w:val="0"/>
              <w:snapToGrid w:val="0"/>
              <w:spacing w:line="360" w:lineRule="auto"/>
              <w:jc w:val="left"/>
              <w:rPr>
                <w:rFonts w:ascii="宋体" w:hAnsi="宋体" w:eastAsia="宋体"/>
                <w:color w:val="auto"/>
                <w:szCs w:val="21"/>
              </w:rPr>
            </w:pPr>
            <w:r>
              <w:rPr>
                <w:rFonts w:hint="eastAsia" w:ascii="宋体" w:hAnsi="宋体" w:eastAsia="宋体"/>
                <w:color w:val="auto"/>
                <w:szCs w:val="21"/>
              </w:rPr>
              <w:t>组织现场考察或者召开答疑会</w:t>
            </w:r>
          </w:p>
        </w:tc>
        <w:tc>
          <w:tcPr>
            <w:tcW w:w="4508" w:type="dxa"/>
            <w:noWrap w:val="0"/>
            <w:vAlign w:val="center"/>
          </w:tcPr>
          <w:p w14:paraId="5E34BC06">
            <w:pPr>
              <w:widowControl w:val="0"/>
              <w:adjustRightInd w:val="0"/>
              <w:snapToGrid w:val="0"/>
              <w:spacing w:line="360" w:lineRule="auto"/>
              <w:textAlignment w:val="auto"/>
              <w:rPr>
                <w:rFonts w:ascii="宋体" w:hAnsi="宋体" w:cs="Times New Roman"/>
                <w:color w:val="auto"/>
                <w:szCs w:val="21"/>
              </w:rPr>
            </w:pPr>
            <w:r>
              <w:rPr>
                <w:rFonts w:hint="eastAsia" w:ascii="MS Gothic" w:hAnsi="MS Gothic" w:eastAsia="MS Gothic" w:cs="MS Gothic"/>
                <w:color w:val="auto"/>
                <w:szCs w:val="21"/>
              </w:rPr>
              <w:t>■</w:t>
            </w:r>
            <w:r>
              <w:rPr>
                <w:rFonts w:ascii="宋体" w:hAnsi="宋体" w:cs="Times New Roman"/>
                <w:color w:val="auto"/>
                <w:szCs w:val="21"/>
              </w:rPr>
              <w:t>不组织</w:t>
            </w:r>
          </w:p>
          <w:p w14:paraId="06134BC4">
            <w:pPr>
              <w:widowControl w:val="0"/>
              <w:adjustRightInd w:val="0"/>
              <w:snapToGrid w:val="0"/>
              <w:spacing w:line="360" w:lineRule="auto"/>
              <w:textAlignment w:val="auto"/>
              <w:rPr>
                <w:rFonts w:ascii="宋体" w:hAnsi="宋体" w:cs="Times New Roman"/>
                <w:color w:val="auto"/>
                <w:szCs w:val="21"/>
              </w:rPr>
            </w:pPr>
            <w:r>
              <w:rPr>
                <w:rFonts w:hint="eastAsia" w:ascii="MS Gothic" w:hAnsi="MS Gothic" w:eastAsia="MS Gothic" w:cs="MS Gothic"/>
                <w:color w:val="auto"/>
                <w:szCs w:val="21"/>
              </w:rPr>
              <w:t>☐</w:t>
            </w:r>
            <w:r>
              <w:rPr>
                <w:rFonts w:hint="eastAsia" w:ascii="宋体" w:hAnsi="宋体" w:cs="Times New Roman"/>
                <w:color w:val="auto"/>
                <w:szCs w:val="21"/>
              </w:rPr>
              <w:t>组织，集合时间：</w:t>
            </w:r>
            <w:r>
              <w:rPr>
                <w:rFonts w:hint="eastAsia" w:ascii="宋体" w:hAnsi="宋体" w:cs="Times New Roman"/>
                <w:color w:val="auto"/>
                <w:szCs w:val="21"/>
                <w:u w:val="single"/>
              </w:rPr>
              <w:t xml:space="preserve"> </w:t>
            </w:r>
            <w:r>
              <w:rPr>
                <w:rFonts w:hint="eastAsia" w:ascii="宋体" w:hAnsi="宋体" w:cs="Times New Roman"/>
                <w:color w:val="auto"/>
                <w:szCs w:val="21"/>
                <w:u w:val="single"/>
                <w:lang w:val="en-US" w:eastAsia="zh-CN"/>
              </w:rPr>
              <w:t>/</w:t>
            </w:r>
            <w:r>
              <w:rPr>
                <w:rFonts w:hint="eastAsia" w:ascii="宋体" w:hAnsi="宋体" w:cs="Times New Roman"/>
                <w:color w:val="auto"/>
                <w:szCs w:val="21"/>
                <w:u w:val="single"/>
              </w:rPr>
              <w:t xml:space="preserve"> </w:t>
            </w:r>
            <w:r>
              <w:rPr>
                <w:rFonts w:hint="eastAsia" w:ascii="宋体" w:hAnsi="宋体" w:cs="Times New Roman"/>
                <w:color w:val="auto"/>
                <w:szCs w:val="21"/>
              </w:rPr>
              <w:t>年</w:t>
            </w:r>
            <w:r>
              <w:rPr>
                <w:rFonts w:hint="eastAsia" w:ascii="宋体" w:hAnsi="宋体" w:cs="Times New Roman"/>
                <w:color w:val="auto"/>
                <w:szCs w:val="21"/>
                <w:u w:val="single"/>
              </w:rPr>
              <w:t xml:space="preserve">  </w:t>
            </w:r>
            <w:r>
              <w:rPr>
                <w:rFonts w:hint="eastAsia" w:ascii="宋体" w:hAnsi="宋体" w:cs="Times New Roman"/>
                <w:color w:val="auto"/>
                <w:szCs w:val="21"/>
                <w:u w:val="single"/>
                <w:lang w:val="en-US" w:eastAsia="zh-CN"/>
              </w:rPr>
              <w:t>/</w:t>
            </w:r>
            <w:r>
              <w:rPr>
                <w:rFonts w:hint="eastAsia" w:ascii="宋体" w:hAnsi="宋体" w:cs="Times New Roman"/>
                <w:color w:val="auto"/>
                <w:szCs w:val="21"/>
                <w:u w:val="single"/>
              </w:rPr>
              <w:t xml:space="preserve"> </w:t>
            </w:r>
            <w:r>
              <w:rPr>
                <w:rFonts w:hint="eastAsia" w:ascii="宋体" w:hAnsi="宋体" w:cs="Times New Roman"/>
                <w:color w:val="auto"/>
                <w:szCs w:val="21"/>
              </w:rPr>
              <w:t>月</w:t>
            </w:r>
            <w:r>
              <w:rPr>
                <w:rFonts w:hint="eastAsia" w:ascii="宋体" w:hAnsi="宋体" w:cs="Times New Roman"/>
                <w:color w:val="auto"/>
                <w:szCs w:val="21"/>
                <w:u w:val="single"/>
              </w:rPr>
              <w:t xml:space="preserve"> </w:t>
            </w:r>
            <w:r>
              <w:rPr>
                <w:rFonts w:hint="eastAsia" w:ascii="宋体" w:hAnsi="宋体" w:cs="Times New Roman"/>
                <w:color w:val="auto"/>
                <w:szCs w:val="21"/>
                <w:u w:val="single"/>
                <w:lang w:val="en-US" w:eastAsia="zh-CN"/>
              </w:rPr>
              <w:t>/</w:t>
            </w:r>
            <w:r>
              <w:rPr>
                <w:rFonts w:hint="eastAsia" w:ascii="宋体" w:hAnsi="宋体" w:cs="Times New Roman"/>
                <w:color w:val="auto"/>
                <w:szCs w:val="21"/>
                <w:u w:val="single"/>
              </w:rPr>
              <w:t xml:space="preserve"> </w:t>
            </w:r>
            <w:r>
              <w:rPr>
                <w:rFonts w:hint="eastAsia" w:ascii="宋体" w:hAnsi="宋体" w:cs="Times New Roman"/>
                <w:color w:val="auto"/>
                <w:szCs w:val="21"/>
              </w:rPr>
              <w:t>日</w:t>
            </w:r>
            <w:r>
              <w:rPr>
                <w:rFonts w:hint="eastAsia" w:ascii="宋体" w:hAnsi="宋体" w:cs="Times New Roman"/>
                <w:color w:val="auto"/>
                <w:szCs w:val="21"/>
                <w:u w:val="single"/>
              </w:rPr>
              <w:t xml:space="preserve">    </w:t>
            </w:r>
            <w:r>
              <w:rPr>
                <w:rFonts w:hint="eastAsia" w:ascii="宋体" w:hAnsi="宋体" w:cs="Times New Roman"/>
                <w:color w:val="auto"/>
                <w:szCs w:val="21"/>
              </w:rPr>
              <w:t xml:space="preserve">时                   </w:t>
            </w:r>
          </w:p>
          <w:p w14:paraId="08E72609">
            <w:pPr>
              <w:adjustRightInd w:val="0"/>
              <w:snapToGrid w:val="0"/>
              <w:spacing w:line="360" w:lineRule="auto"/>
              <w:rPr>
                <w:rFonts w:ascii="宋体" w:hAnsi="宋体" w:eastAsia="宋体"/>
                <w:color w:val="auto"/>
                <w:szCs w:val="21"/>
              </w:rPr>
            </w:pPr>
            <w:r>
              <w:rPr>
                <w:rFonts w:hint="eastAsia" w:ascii="宋体" w:hAnsi="宋体" w:cs="Times New Roman"/>
                <w:color w:val="auto"/>
                <w:szCs w:val="21"/>
              </w:rPr>
              <w:t xml:space="preserve">  集合地点：</w:t>
            </w:r>
            <w:r>
              <w:rPr>
                <w:rFonts w:hint="eastAsia" w:ascii="宋体" w:hAnsi="宋体" w:cs="Times New Roman"/>
                <w:color w:val="auto"/>
                <w:szCs w:val="21"/>
                <w:u w:val="single"/>
              </w:rPr>
              <w:t xml:space="preserve"> </w:t>
            </w:r>
            <w:r>
              <w:rPr>
                <w:rFonts w:hint="eastAsia" w:ascii="宋体" w:hAnsi="宋体" w:cs="Times New Roman"/>
                <w:color w:val="auto"/>
                <w:szCs w:val="21"/>
                <w:u w:val="single"/>
                <w:lang w:val="en-US" w:eastAsia="zh-CN"/>
              </w:rPr>
              <w:t>/</w:t>
            </w:r>
            <w:r>
              <w:rPr>
                <w:rFonts w:hint="eastAsia" w:ascii="宋体" w:hAnsi="宋体" w:cs="Times New Roman"/>
                <w:color w:val="auto"/>
                <w:szCs w:val="21"/>
                <w:u w:val="single"/>
              </w:rPr>
              <w:t xml:space="preserve"> </w:t>
            </w:r>
          </w:p>
        </w:tc>
      </w:tr>
      <w:tr w14:paraId="3F342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0DB11D6C">
            <w:pPr>
              <w:adjustRightInd w:val="0"/>
              <w:snapToGrid w:val="0"/>
              <w:spacing w:line="360" w:lineRule="auto"/>
              <w:rPr>
                <w:rFonts w:ascii="宋体" w:hAnsi="宋体" w:eastAsia="宋体"/>
                <w:b/>
                <w:color w:val="auto"/>
                <w:szCs w:val="21"/>
              </w:rPr>
            </w:pPr>
            <w:r>
              <w:rPr>
                <w:rFonts w:hint="eastAsia" w:ascii="宋体" w:hAnsi="宋体" w:eastAsia="宋体"/>
                <w:b/>
                <w:color w:val="auto"/>
                <w:szCs w:val="21"/>
              </w:rPr>
              <w:t>二、招标文件</w:t>
            </w:r>
          </w:p>
        </w:tc>
      </w:tr>
      <w:tr w14:paraId="3DD65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4FFEEEA9">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第7.4</w:t>
            </w:r>
            <w:r>
              <w:rPr>
                <w:rFonts w:hint="eastAsia" w:ascii="宋体" w:hAnsi="宋体" w:eastAsia="宋体" w:cs="宋体"/>
                <w:color w:val="auto"/>
                <w:kern w:val="0"/>
                <w:szCs w:val="21"/>
                <w:lang w:val="zh-CN"/>
              </w:rPr>
              <w:t>款</w:t>
            </w:r>
          </w:p>
        </w:tc>
        <w:tc>
          <w:tcPr>
            <w:tcW w:w="2863" w:type="dxa"/>
            <w:noWrap w:val="0"/>
            <w:vAlign w:val="center"/>
          </w:tcPr>
          <w:p w14:paraId="1E6117FF">
            <w:pPr>
              <w:widowControl w:val="0"/>
              <w:adjustRightInd w:val="0"/>
              <w:snapToGrid w:val="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非实质性偏离的范围和幅度</w:t>
            </w:r>
          </w:p>
        </w:tc>
        <w:tc>
          <w:tcPr>
            <w:tcW w:w="4508" w:type="dxa"/>
            <w:noWrap w:val="0"/>
            <w:vAlign w:val="center"/>
          </w:tcPr>
          <w:p w14:paraId="6AA488CA">
            <w:pPr>
              <w:widowControl w:val="0"/>
              <w:adjustRightInd w:val="0"/>
              <w:snapToGrid w:val="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一般技术和商务条款≥</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项目将导致投标无效</w:t>
            </w:r>
          </w:p>
          <w:p w14:paraId="617B35F7">
            <w:pPr>
              <w:widowControl w:val="0"/>
              <w:adjustRightInd w:val="0"/>
              <w:snapToGrid w:val="0"/>
              <w:textAlignment w:val="auto"/>
              <w:rPr>
                <w:rFonts w:hint="eastAsia" w:ascii="宋体" w:hAnsi="宋体" w:eastAsia="宋体" w:cs="Times New Roman"/>
                <w:color w:val="auto"/>
                <w:szCs w:val="21"/>
              </w:rPr>
            </w:pPr>
          </w:p>
        </w:tc>
      </w:tr>
      <w:tr w14:paraId="564BC4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5776E708">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第9.1</w:t>
            </w:r>
            <w:r>
              <w:rPr>
                <w:rFonts w:hint="eastAsia" w:ascii="宋体" w:hAnsi="宋体" w:eastAsia="宋体" w:cs="宋体"/>
                <w:color w:val="auto"/>
                <w:kern w:val="0"/>
                <w:szCs w:val="21"/>
                <w:lang w:val="zh-CN"/>
              </w:rPr>
              <w:t>款</w:t>
            </w:r>
          </w:p>
        </w:tc>
        <w:tc>
          <w:tcPr>
            <w:tcW w:w="2863" w:type="dxa"/>
            <w:noWrap w:val="0"/>
            <w:vAlign w:val="center"/>
          </w:tcPr>
          <w:p w14:paraId="78CC9DF6">
            <w:pPr>
              <w:widowControl w:val="0"/>
              <w:adjustRightInd w:val="0"/>
              <w:snapToGrid w:val="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招标公告指定媒体</w:t>
            </w:r>
          </w:p>
        </w:tc>
        <w:tc>
          <w:tcPr>
            <w:tcW w:w="4508" w:type="dxa"/>
            <w:noWrap w:val="0"/>
            <w:vAlign w:val="center"/>
          </w:tcPr>
          <w:p w14:paraId="044BEFC6">
            <w:pPr>
              <w:widowControl w:val="0"/>
              <w:adjustRightInd w:val="0"/>
              <w:snapToGrid w:val="0"/>
              <w:textAlignment w:val="auto"/>
              <w:rPr>
                <w:rFonts w:hint="default" w:ascii="宋体" w:hAnsi="宋体" w:eastAsia="宋体" w:cs="Times New Roman"/>
                <w:color w:val="auto"/>
                <w:szCs w:val="21"/>
                <w:lang w:val="en-US" w:eastAsia="zh-CN"/>
              </w:rPr>
            </w:pPr>
            <w:r>
              <w:rPr>
                <w:rFonts w:hint="eastAsia" w:ascii="宋体" w:hAnsi="宋体" w:cs="宋体"/>
                <w:color w:val="auto"/>
                <w:sz w:val="21"/>
                <w:szCs w:val="21"/>
                <w:u w:val="none"/>
                <w:lang w:eastAsia="zh-CN"/>
              </w:rPr>
              <w:t>娄底市万宝新区开发投资集团有限公司</w:t>
            </w:r>
            <w:r>
              <w:rPr>
                <w:rFonts w:hint="eastAsia" w:ascii="宋体" w:hAnsi="宋体" w:cs="宋体"/>
                <w:color w:val="auto"/>
                <w:sz w:val="21"/>
                <w:szCs w:val="21"/>
                <w:u w:val="none"/>
                <w:lang w:val="en-US" w:eastAsia="zh-CN"/>
              </w:rPr>
              <w:t>网站</w:t>
            </w:r>
            <w:r>
              <w:rPr>
                <w:rFonts w:hint="eastAsia" w:ascii="宋体" w:hAnsi="宋体" w:cs="宋体"/>
                <w:color w:val="auto"/>
                <w:sz w:val="21"/>
                <w:szCs w:val="21"/>
                <w:u w:val="none"/>
                <w:lang w:eastAsia="zh-CN"/>
              </w:rPr>
              <w:t>（http://www.wbtzjt.com/）</w:t>
            </w:r>
            <w:r>
              <w:rPr>
                <w:rFonts w:hint="eastAsia" w:ascii="宋体" w:hAnsi="宋体" w:cs="宋体"/>
                <w:color w:val="auto"/>
                <w:sz w:val="21"/>
                <w:szCs w:val="21"/>
                <w:u w:val="none"/>
                <w:lang w:val="en-US" w:eastAsia="zh-CN"/>
              </w:rPr>
              <w:t>及微信公众号</w:t>
            </w:r>
          </w:p>
        </w:tc>
      </w:tr>
      <w:tr w14:paraId="79600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31" w:type="dxa"/>
            <w:gridSpan w:val="3"/>
            <w:noWrap w:val="0"/>
            <w:vAlign w:val="center"/>
          </w:tcPr>
          <w:p w14:paraId="38B97056">
            <w:pPr>
              <w:adjustRightInd w:val="0"/>
              <w:snapToGrid w:val="0"/>
              <w:spacing w:line="360" w:lineRule="auto"/>
              <w:rPr>
                <w:rFonts w:ascii="宋体" w:hAnsi="宋体" w:eastAsia="宋体"/>
                <w:color w:val="auto"/>
                <w:szCs w:val="21"/>
              </w:rPr>
            </w:pPr>
            <w:r>
              <w:rPr>
                <w:rFonts w:hint="eastAsia" w:ascii="宋体" w:hAnsi="宋体" w:eastAsia="宋体"/>
                <w:b/>
                <w:color w:val="auto"/>
                <w:szCs w:val="21"/>
              </w:rPr>
              <w:t>三、投标文件</w:t>
            </w:r>
          </w:p>
        </w:tc>
      </w:tr>
      <w:tr w14:paraId="1CC8D1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0C0C16E0">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第13.2</w:t>
            </w:r>
            <w:r>
              <w:rPr>
                <w:rFonts w:hint="eastAsia" w:ascii="宋体" w:hAnsi="宋体" w:eastAsia="宋体" w:cs="宋体"/>
                <w:color w:val="auto"/>
                <w:kern w:val="0"/>
                <w:szCs w:val="21"/>
                <w:lang w:val="zh-CN"/>
              </w:rPr>
              <w:t>款</w:t>
            </w:r>
          </w:p>
        </w:tc>
        <w:tc>
          <w:tcPr>
            <w:tcW w:w="2863" w:type="dxa"/>
            <w:noWrap w:val="0"/>
            <w:vAlign w:val="center"/>
          </w:tcPr>
          <w:p w14:paraId="2F93CBEB">
            <w:pPr>
              <w:adjustRightInd w:val="0"/>
              <w:snapToGrid w:val="0"/>
              <w:spacing w:line="360" w:lineRule="auto"/>
              <w:rPr>
                <w:rFonts w:hint="eastAsia" w:ascii="宋体" w:hAnsi="宋体" w:eastAsia="宋体"/>
                <w:color w:val="auto"/>
                <w:szCs w:val="21"/>
                <w:lang w:eastAsia="zh-CN"/>
              </w:rPr>
            </w:pPr>
            <w:r>
              <w:rPr>
                <w:rFonts w:hint="eastAsia" w:ascii="宋体" w:hAnsi="宋体" w:eastAsia="宋体"/>
                <w:color w:val="auto"/>
                <w:szCs w:val="21"/>
              </w:rPr>
              <w:t>采购</w:t>
            </w:r>
            <w:r>
              <w:rPr>
                <w:rFonts w:hint="eastAsia" w:ascii="宋体" w:hAnsi="宋体"/>
                <w:color w:val="auto"/>
                <w:szCs w:val="21"/>
                <w:lang w:val="en-US" w:eastAsia="zh-CN"/>
              </w:rPr>
              <w:t>项目</w:t>
            </w:r>
            <w:r>
              <w:rPr>
                <w:rFonts w:hint="eastAsia" w:ascii="宋体" w:hAnsi="宋体" w:eastAsia="宋体"/>
                <w:color w:val="auto"/>
                <w:szCs w:val="21"/>
              </w:rPr>
              <w:t>最高限价</w:t>
            </w:r>
            <w:r>
              <w:rPr>
                <w:rFonts w:hint="eastAsia" w:ascii="宋体" w:hAnsi="宋体"/>
                <w:color w:val="auto"/>
                <w:szCs w:val="21"/>
                <w:lang w:eastAsia="zh-CN"/>
              </w:rPr>
              <w:t>、最高费率</w:t>
            </w:r>
          </w:p>
        </w:tc>
        <w:tc>
          <w:tcPr>
            <w:tcW w:w="4508" w:type="dxa"/>
            <w:noWrap w:val="0"/>
            <w:vAlign w:val="center"/>
          </w:tcPr>
          <w:p w14:paraId="45A8EF70">
            <w:pPr>
              <w:widowControl w:val="0"/>
              <w:adjustRightInd w:val="0"/>
              <w:snapToGrid w:val="0"/>
              <w:spacing w:line="360" w:lineRule="auto"/>
              <w:textAlignment w:val="auto"/>
              <w:rPr>
                <w:rStyle w:val="33"/>
                <w:rFonts w:hint="eastAsia" w:ascii="宋体" w:hAnsi="宋体" w:eastAsia="宋体"/>
                <w:color w:val="auto"/>
                <w:szCs w:val="21"/>
                <w:lang w:eastAsia="zh-CN"/>
              </w:rPr>
            </w:pPr>
            <w:r>
              <w:rPr>
                <w:rFonts w:hint="eastAsia" w:ascii="宋体" w:hAnsi="宋体" w:cs="Times New Roman"/>
                <w:color w:val="auto"/>
                <w:szCs w:val="21"/>
              </w:rPr>
              <w:t>最高限价：</w:t>
            </w:r>
            <w:r>
              <w:rPr>
                <w:rFonts w:hint="eastAsia" w:ascii="宋体" w:hAnsi="宋体"/>
                <w:bCs/>
                <w:color w:val="auto"/>
                <w:szCs w:val="21"/>
                <w:u w:val="single"/>
                <w:lang w:val="en-US" w:eastAsia="zh-CN"/>
              </w:rPr>
              <w:t>531754.69</w:t>
            </w:r>
            <w:r>
              <w:rPr>
                <w:rStyle w:val="33"/>
                <w:rFonts w:hint="eastAsia" w:ascii="宋体" w:hAnsi="宋体"/>
                <w:color w:val="auto"/>
                <w:szCs w:val="21"/>
              </w:rPr>
              <w:t>元</w:t>
            </w:r>
            <w:r>
              <w:rPr>
                <w:rStyle w:val="33"/>
                <w:rFonts w:hint="eastAsia" w:ascii="宋体" w:hAnsi="宋体"/>
                <w:color w:val="auto"/>
                <w:szCs w:val="21"/>
                <w:lang w:val="en-US" w:eastAsia="zh-CN"/>
              </w:rPr>
              <w:t>;</w:t>
            </w:r>
          </w:p>
          <w:p w14:paraId="4A4B3CC6">
            <w:pPr>
              <w:adjustRightInd w:val="0"/>
              <w:snapToGrid w:val="0"/>
              <w:spacing w:line="360" w:lineRule="auto"/>
              <w:rPr>
                <w:rFonts w:ascii="宋体" w:hAnsi="宋体" w:eastAsia="宋体"/>
                <w:color w:val="auto"/>
                <w:szCs w:val="21"/>
              </w:rPr>
            </w:pPr>
            <w:r>
              <w:rPr>
                <w:rFonts w:hint="eastAsia" w:ascii="宋体" w:hAnsi="宋体" w:cs="Times New Roman"/>
                <w:color w:val="auto"/>
                <w:szCs w:val="21"/>
              </w:rPr>
              <w:t>最高</w:t>
            </w:r>
            <w:r>
              <w:rPr>
                <w:rFonts w:hint="eastAsia" w:ascii="宋体" w:hAnsi="宋体" w:cs="Times New Roman"/>
                <w:color w:val="auto"/>
                <w:szCs w:val="21"/>
                <w:lang w:eastAsia="zh-CN"/>
              </w:rPr>
              <w:t>费率限价</w:t>
            </w:r>
            <w:r>
              <w:rPr>
                <w:rFonts w:hint="eastAsia" w:ascii="宋体" w:hAnsi="宋体" w:cs="Times New Roman"/>
                <w:color w:val="auto"/>
                <w:szCs w:val="21"/>
              </w:rPr>
              <w:t>：</w:t>
            </w:r>
            <w:r>
              <w:rPr>
                <w:rFonts w:hint="eastAsia" w:ascii="宋体" w:hAnsi="宋体"/>
                <w:bCs/>
                <w:color w:val="auto"/>
                <w:szCs w:val="21"/>
                <w:u w:val="single"/>
                <w:lang w:val="en-US" w:eastAsia="zh-CN"/>
              </w:rPr>
              <w:t>1.50%</w:t>
            </w:r>
            <w:r>
              <w:rPr>
                <w:rStyle w:val="33"/>
                <w:rFonts w:hint="eastAsia" w:ascii="宋体" w:hAnsi="宋体"/>
                <w:color w:val="auto"/>
                <w:szCs w:val="21"/>
                <w:lang w:val="en-US" w:eastAsia="zh-CN"/>
              </w:rPr>
              <w:t xml:space="preserve"> </w:t>
            </w:r>
            <w:r>
              <w:rPr>
                <w:rStyle w:val="33"/>
                <w:rFonts w:hint="eastAsia" w:ascii="宋体" w:hAnsi="宋体"/>
                <w:color w:val="auto"/>
                <w:szCs w:val="21"/>
              </w:rPr>
              <w:t>。</w:t>
            </w:r>
          </w:p>
        </w:tc>
      </w:tr>
      <w:tr w14:paraId="33606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046E882">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第13.8款</w:t>
            </w:r>
          </w:p>
        </w:tc>
        <w:tc>
          <w:tcPr>
            <w:tcW w:w="2863" w:type="dxa"/>
            <w:noWrap w:val="0"/>
            <w:vAlign w:val="center"/>
          </w:tcPr>
          <w:p w14:paraId="3C8B3BBD">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投标报价的其他要求</w:t>
            </w:r>
          </w:p>
        </w:tc>
        <w:tc>
          <w:tcPr>
            <w:tcW w:w="4508" w:type="dxa"/>
            <w:noWrap w:val="0"/>
            <w:vAlign w:val="center"/>
          </w:tcPr>
          <w:p w14:paraId="0891C43F">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投标人应按</w:t>
            </w:r>
            <w:r>
              <w:rPr>
                <w:rFonts w:hint="eastAsia" w:ascii="宋体" w:hAnsi="宋体"/>
                <w:color w:val="auto"/>
                <w:szCs w:val="21"/>
                <w:lang w:val="en-US" w:eastAsia="zh-CN"/>
              </w:rPr>
              <w:t>询价比选</w:t>
            </w:r>
            <w:r>
              <w:rPr>
                <w:rFonts w:hint="eastAsia" w:ascii="宋体" w:hAnsi="宋体" w:eastAsia="宋体"/>
                <w:color w:val="auto"/>
                <w:szCs w:val="21"/>
              </w:rPr>
              <w:t>文件，以人民币进行报价。投标总价和</w:t>
            </w:r>
            <w:r>
              <w:rPr>
                <w:rFonts w:hint="eastAsia" w:ascii="宋体" w:hAnsi="宋体"/>
                <w:color w:val="auto"/>
                <w:szCs w:val="21"/>
                <w:lang w:eastAsia="zh-CN"/>
              </w:rPr>
              <w:t>费率</w:t>
            </w:r>
            <w:r>
              <w:rPr>
                <w:rFonts w:hint="eastAsia" w:ascii="宋体" w:hAnsi="宋体" w:eastAsia="宋体"/>
                <w:color w:val="auto"/>
                <w:szCs w:val="21"/>
              </w:rPr>
              <w:t>均不得超过</w:t>
            </w:r>
            <w:r>
              <w:rPr>
                <w:rFonts w:hint="eastAsia" w:ascii="宋体" w:hAnsi="宋体"/>
                <w:color w:val="auto"/>
                <w:szCs w:val="21"/>
                <w:lang w:val="en-US" w:eastAsia="zh-CN"/>
              </w:rPr>
              <w:t>询价比选</w:t>
            </w:r>
            <w:r>
              <w:rPr>
                <w:rFonts w:hint="eastAsia" w:ascii="宋体" w:hAnsi="宋体" w:eastAsia="宋体"/>
                <w:color w:val="auto"/>
                <w:szCs w:val="21"/>
              </w:rPr>
              <w:t>文件规定的限价</w:t>
            </w:r>
            <w:r>
              <w:rPr>
                <w:rFonts w:hint="eastAsia" w:ascii="宋体" w:hAnsi="宋体"/>
                <w:color w:val="auto"/>
                <w:szCs w:val="21"/>
                <w:lang w:eastAsia="zh-CN"/>
              </w:rPr>
              <w:t>和费率</w:t>
            </w:r>
            <w:r>
              <w:rPr>
                <w:rFonts w:hint="eastAsia" w:ascii="宋体" w:hAnsi="宋体" w:eastAsia="宋体"/>
                <w:color w:val="auto"/>
                <w:szCs w:val="21"/>
              </w:rPr>
              <w:t>，超过的作废标处理。（请供应商按照清单报价，</w:t>
            </w:r>
            <w:r>
              <w:rPr>
                <w:rFonts w:hint="eastAsia" w:ascii="宋体" w:hAnsi="宋体" w:cs="宋体"/>
                <w:bCs/>
                <w:color w:val="auto"/>
                <w:szCs w:val="21"/>
              </w:rPr>
              <w:t>暂列金额和暂估价不得变动</w:t>
            </w:r>
            <w:r>
              <w:rPr>
                <w:rFonts w:hint="eastAsia" w:ascii="宋体" w:hAnsi="宋体" w:cs="宋体"/>
                <w:bCs/>
                <w:color w:val="auto"/>
                <w:szCs w:val="21"/>
                <w:lang w:eastAsia="zh-CN"/>
              </w:rPr>
              <w:t>（如有）</w:t>
            </w:r>
            <w:r>
              <w:rPr>
                <w:rFonts w:hint="eastAsia" w:ascii="宋体" w:hAnsi="宋体" w:cs="宋体"/>
                <w:bCs/>
                <w:color w:val="auto"/>
                <w:szCs w:val="21"/>
              </w:rPr>
              <w:t>，否则为不合格投标人，作废标处理。）</w:t>
            </w:r>
          </w:p>
        </w:tc>
      </w:tr>
      <w:tr w14:paraId="257E4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7F0097B2">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第14.1款</w:t>
            </w:r>
          </w:p>
        </w:tc>
        <w:tc>
          <w:tcPr>
            <w:tcW w:w="2863" w:type="dxa"/>
            <w:noWrap w:val="0"/>
            <w:vAlign w:val="center"/>
          </w:tcPr>
          <w:p w14:paraId="16A26ED4">
            <w:pPr>
              <w:adjustRightInd w:val="0"/>
              <w:snapToGrid w:val="0"/>
              <w:spacing w:line="360" w:lineRule="auto"/>
              <w:rPr>
                <w:rFonts w:ascii="宋体" w:hAnsi="宋体" w:eastAsia="宋体"/>
                <w:bCs/>
                <w:color w:val="auto"/>
                <w:szCs w:val="21"/>
              </w:rPr>
            </w:pPr>
            <w:r>
              <w:rPr>
                <w:rFonts w:hint="eastAsia" w:ascii="宋体" w:hAnsi="宋体" w:eastAsia="宋体"/>
                <w:color w:val="auto"/>
                <w:szCs w:val="21"/>
              </w:rPr>
              <w:t>投标人应提供资格审查资料</w:t>
            </w:r>
          </w:p>
        </w:tc>
        <w:tc>
          <w:tcPr>
            <w:tcW w:w="4508" w:type="dxa"/>
            <w:noWrap w:val="0"/>
            <w:vAlign w:val="center"/>
          </w:tcPr>
          <w:p w14:paraId="47EF071C">
            <w:pPr>
              <w:adjustRightInd w:val="0"/>
              <w:snapToGrid w:val="0"/>
              <w:spacing w:line="360" w:lineRule="auto"/>
              <w:rPr>
                <w:rFonts w:hint="default" w:ascii="宋体" w:hAnsi="宋体" w:eastAsia="宋体"/>
                <w:color w:val="auto"/>
                <w:szCs w:val="21"/>
                <w:lang w:val="en-US"/>
              </w:rPr>
            </w:pPr>
            <w:r>
              <w:rPr>
                <w:rFonts w:hint="eastAsia" w:ascii="宋体" w:hAnsi="宋体" w:cs="Times New Roman"/>
                <w:color w:val="auto"/>
                <w:szCs w:val="21"/>
                <w:lang w:val="en-US" w:eastAsia="zh-CN"/>
              </w:rPr>
              <w:t>详见投标邀请</w:t>
            </w:r>
          </w:p>
        </w:tc>
      </w:tr>
      <w:tr w14:paraId="4ADED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7D8D096D">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第16.1</w:t>
            </w:r>
            <w:r>
              <w:rPr>
                <w:rFonts w:hint="eastAsia" w:ascii="宋体" w:hAnsi="宋体" w:eastAsia="宋体" w:cs="宋体"/>
                <w:color w:val="auto"/>
                <w:kern w:val="0"/>
                <w:szCs w:val="21"/>
                <w:lang w:val="zh-CN"/>
              </w:rPr>
              <w:t>款</w:t>
            </w:r>
          </w:p>
        </w:tc>
        <w:tc>
          <w:tcPr>
            <w:tcW w:w="2863" w:type="dxa"/>
            <w:noWrap w:val="0"/>
            <w:vAlign w:val="center"/>
          </w:tcPr>
          <w:p w14:paraId="5F4B69C7">
            <w:pPr>
              <w:adjustRightInd w:val="0"/>
              <w:snapToGrid w:val="0"/>
              <w:spacing w:line="360" w:lineRule="auto"/>
              <w:jc w:val="left"/>
              <w:rPr>
                <w:rFonts w:ascii="宋体" w:hAnsi="宋体" w:eastAsia="宋体"/>
                <w:bCs/>
                <w:color w:val="auto"/>
                <w:szCs w:val="21"/>
              </w:rPr>
            </w:pPr>
            <w:r>
              <w:rPr>
                <w:rFonts w:hint="eastAsia" w:ascii="宋体" w:hAnsi="宋体" w:eastAsia="宋体"/>
                <w:bCs/>
                <w:color w:val="auto"/>
                <w:szCs w:val="21"/>
              </w:rPr>
              <w:t>投标有效期</w:t>
            </w:r>
          </w:p>
        </w:tc>
        <w:tc>
          <w:tcPr>
            <w:tcW w:w="4508" w:type="dxa"/>
            <w:noWrap w:val="0"/>
            <w:vAlign w:val="center"/>
          </w:tcPr>
          <w:p w14:paraId="15BC0B1B">
            <w:pPr>
              <w:adjustRightInd w:val="0"/>
              <w:snapToGrid w:val="0"/>
              <w:spacing w:line="360" w:lineRule="auto"/>
              <w:rPr>
                <w:rFonts w:ascii="宋体" w:hAnsi="宋体" w:eastAsia="宋体"/>
                <w:bCs/>
                <w:color w:val="auto"/>
                <w:szCs w:val="21"/>
              </w:rPr>
            </w:pPr>
            <w:r>
              <w:rPr>
                <w:rFonts w:hint="eastAsia" w:ascii="宋体" w:hAnsi="宋体" w:cs="Times New Roman"/>
                <w:bCs/>
                <w:color w:val="auto"/>
                <w:szCs w:val="21"/>
              </w:rPr>
              <w:t>90天（日历日）</w:t>
            </w:r>
          </w:p>
        </w:tc>
      </w:tr>
      <w:tr w14:paraId="142C15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4BD29663">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第17.1</w:t>
            </w:r>
            <w:r>
              <w:rPr>
                <w:rFonts w:hint="eastAsia" w:ascii="宋体" w:hAnsi="宋体" w:eastAsia="宋体" w:cs="宋体"/>
                <w:color w:val="auto"/>
                <w:kern w:val="0"/>
                <w:szCs w:val="21"/>
                <w:lang w:val="zh-CN"/>
              </w:rPr>
              <w:t>款</w:t>
            </w:r>
          </w:p>
        </w:tc>
        <w:tc>
          <w:tcPr>
            <w:tcW w:w="2863" w:type="dxa"/>
            <w:noWrap w:val="0"/>
            <w:vAlign w:val="center"/>
          </w:tcPr>
          <w:p w14:paraId="42591207">
            <w:pPr>
              <w:adjustRightInd w:val="0"/>
              <w:snapToGrid w:val="0"/>
              <w:spacing w:line="360" w:lineRule="auto"/>
              <w:ind w:left="-533" w:leftChars="-254" w:firstLine="533" w:firstLineChars="254"/>
              <w:jc w:val="left"/>
              <w:rPr>
                <w:rFonts w:ascii="宋体" w:hAnsi="宋体" w:eastAsia="宋体"/>
                <w:color w:val="auto"/>
                <w:szCs w:val="21"/>
              </w:rPr>
            </w:pPr>
            <w:r>
              <w:rPr>
                <w:rFonts w:hint="eastAsia" w:ascii="宋体" w:hAnsi="宋体" w:eastAsia="宋体"/>
                <w:color w:val="auto"/>
                <w:szCs w:val="21"/>
              </w:rPr>
              <w:t>投标保证金</w:t>
            </w:r>
          </w:p>
        </w:tc>
        <w:tc>
          <w:tcPr>
            <w:tcW w:w="4508" w:type="dxa"/>
            <w:noWrap w:val="0"/>
            <w:vAlign w:val="center"/>
          </w:tcPr>
          <w:p w14:paraId="08E00127">
            <w:pPr>
              <w:adjustRightInd w:val="0"/>
              <w:snapToGrid w:val="0"/>
              <w:spacing w:line="420" w:lineRule="exact"/>
              <w:rPr>
                <w:rFonts w:hint="default" w:ascii="宋体" w:hAnsi="宋体" w:eastAsia="宋体"/>
                <w:color w:val="auto"/>
                <w:szCs w:val="21"/>
                <w:lang w:val="en-US" w:eastAsia="zh-CN"/>
              </w:rPr>
            </w:pPr>
            <w:r>
              <w:rPr>
                <w:rFonts w:hint="eastAsia" w:ascii="宋体" w:hAnsi="宋体"/>
                <w:color w:val="auto"/>
                <w:szCs w:val="21"/>
                <w:lang w:val="en-US" w:eastAsia="zh-CN"/>
              </w:rPr>
              <w:t>不需要提交</w:t>
            </w:r>
          </w:p>
        </w:tc>
      </w:tr>
      <w:tr w14:paraId="1E300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35614F45">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第18.1</w:t>
            </w:r>
            <w:r>
              <w:rPr>
                <w:rFonts w:hint="eastAsia" w:ascii="宋体" w:hAnsi="宋体" w:eastAsia="宋体" w:cs="宋体"/>
                <w:color w:val="auto"/>
                <w:kern w:val="0"/>
                <w:szCs w:val="21"/>
                <w:lang w:val="zh-CN"/>
              </w:rPr>
              <w:t>款</w:t>
            </w:r>
          </w:p>
        </w:tc>
        <w:tc>
          <w:tcPr>
            <w:tcW w:w="2863" w:type="dxa"/>
            <w:noWrap w:val="0"/>
            <w:vAlign w:val="center"/>
          </w:tcPr>
          <w:p w14:paraId="4B44FCFD">
            <w:pPr>
              <w:adjustRightInd w:val="0"/>
              <w:snapToGrid w:val="0"/>
              <w:spacing w:line="360" w:lineRule="auto"/>
              <w:jc w:val="left"/>
              <w:rPr>
                <w:rFonts w:ascii="宋体" w:hAnsi="宋体" w:eastAsia="宋体"/>
                <w:color w:val="auto"/>
                <w:szCs w:val="21"/>
              </w:rPr>
            </w:pPr>
            <w:r>
              <w:rPr>
                <w:rFonts w:hint="eastAsia" w:ascii="宋体" w:hAnsi="宋体" w:eastAsia="宋体"/>
                <w:bCs/>
                <w:color w:val="auto"/>
                <w:szCs w:val="21"/>
              </w:rPr>
              <w:t>分包</w:t>
            </w:r>
          </w:p>
        </w:tc>
        <w:tc>
          <w:tcPr>
            <w:tcW w:w="4508" w:type="dxa"/>
            <w:noWrap w:val="0"/>
            <w:vAlign w:val="center"/>
          </w:tcPr>
          <w:p w14:paraId="32AEDF55">
            <w:pPr>
              <w:adjustRightInd w:val="0"/>
              <w:snapToGrid w:val="0"/>
              <w:spacing w:line="360" w:lineRule="auto"/>
              <w:jc w:val="left"/>
              <w:rPr>
                <w:rFonts w:hint="default" w:ascii="宋体" w:hAnsi="宋体" w:eastAsia="宋体"/>
                <w:bCs/>
                <w:color w:val="auto"/>
                <w:szCs w:val="21"/>
                <w:lang w:val="en-US" w:eastAsia="zh-CN"/>
              </w:rPr>
            </w:pPr>
            <w:r>
              <w:rPr>
                <w:rFonts w:hint="eastAsia" w:ascii="宋体" w:hAnsi="宋体" w:eastAsia="宋体"/>
                <w:bCs/>
                <w:color w:val="auto"/>
                <w:szCs w:val="21"/>
                <w:lang w:val="en-US" w:eastAsia="zh-CN"/>
              </w:rPr>
              <w:t>禁止违法分包</w:t>
            </w:r>
          </w:p>
        </w:tc>
      </w:tr>
      <w:tr w14:paraId="333D7C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55F3883E">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第19.1</w:t>
            </w:r>
            <w:r>
              <w:rPr>
                <w:rFonts w:hint="eastAsia" w:ascii="宋体" w:hAnsi="宋体" w:eastAsia="宋体" w:cs="宋体"/>
                <w:color w:val="auto"/>
                <w:kern w:val="0"/>
                <w:szCs w:val="21"/>
                <w:lang w:val="zh-CN"/>
              </w:rPr>
              <w:t>款</w:t>
            </w:r>
          </w:p>
        </w:tc>
        <w:tc>
          <w:tcPr>
            <w:tcW w:w="2863" w:type="dxa"/>
            <w:noWrap w:val="0"/>
            <w:vAlign w:val="center"/>
          </w:tcPr>
          <w:p w14:paraId="1F169518">
            <w:pPr>
              <w:adjustRightInd w:val="0"/>
              <w:snapToGrid w:val="0"/>
              <w:spacing w:line="360" w:lineRule="auto"/>
              <w:jc w:val="left"/>
              <w:rPr>
                <w:rFonts w:ascii="宋体" w:hAnsi="宋体" w:eastAsia="宋体"/>
                <w:bCs/>
                <w:color w:val="auto"/>
                <w:szCs w:val="21"/>
              </w:rPr>
            </w:pPr>
            <w:r>
              <w:rPr>
                <w:rFonts w:hint="eastAsia" w:ascii="宋体" w:hAnsi="宋体" w:eastAsia="宋体"/>
                <w:bCs/>
                <w:color w:val="auto"/>
                <w:szCs w:val="21"/>
              </w:rPr>
              <w:t>投标文件</w:t>
            </w:r>
            <w:r>
              <w:rPr>
                <w:rFonts w:hint="eastAsia" w:ascii="宋体" w:hAnsi="宋体"/>
                <w:bCs/>
                <w:color w:val="auto"/>
                <w:szCs w:val="21"/>
                <w:lang w:eastAsia="zh-CN"/>
              </w:rPr>
              <w:t>份</w:t>
            </w:r>
            <w:r>
              <w:rPr>
                <w:rFonts w:hint="eastAsia" w:ascii="宋体" w:hAnsi="宋体" w:eastAsia="宋体"/>
                <w:bCs/>
                <w:color w:val="auto"/>
                <w:szCs w:val="21"/>
              </w:rPr>
              <w:t>数</w:t>
            </w:r>
          </w:p>
        </w:tc>
        <w:tc>
          <w:tcPr>
            <w:tcW w:w="4508" w:type="dxa"/>
            <w:noWrap w:val="0"/>
            <w:vAlign w:val="center"/>
          </w:tcPr>
          <w:p w14:paraId="51773AC9">
            <w:pPr>
              <w:adjustRightInd w:val="0"/>
              <w:snapToGrid w:val="0"/>
              <w:spacing w:line="360" w:lineRule="auto"/>
              <w:jc w:val="left"/>
              <w:rPr>
                <w:rFonts w:hint="eastAsia" w:ascii="宋体" w:hAnsi="宋体" w:eastAsia="宋体"/>
                <w:bCs/>
                <w:color w:val="auto"/>
                <w:szCs w:val="21"/>
                <w:lang w:eastAsia="zh-CN"/>
              </w:rPr>
            </w:pPr>
            <w:r>
              <w:rPr>
                <w:rFonts w:hint="eastAsia"/>
                <w:color w:val="auto"/>
                <w:szCs w:val="21"/>
                <w:lang w:eastAsia="zh-CN"/>
              </w:rPr>
              <w:t>投标文件根据文件要求制作，纸质文件壹</w:t>
            </w:r>
            <w:r>
              <w:rPr>
                <w:color w:val="auto"/>
                <w:szCs w:val="21"/>
              </w:rPr>
              <w:t>式</w:t>
            </w:r>
            <w:r>
              <w:rPr>
                <w:rFonts w:hint="eastAsia"/>
                <w:color w:val="auto"/>
                <w:szCs w:val="21"/>
                <w:u w:val="single"/>
                <w:lang w:eastAsia="zh-CN"/>
              </w:rPr>
              <w:t>贰</w:t>
            </w:r>
            <w:r>
              <w:rPr>
                <w:color w:val="auto"/>
                <w:szCs w:val="21"/>
              </w:rPr>
              <w:t>份，其中：正本</w:t>
            </w:r>
            <w:r>
              <w:rPr>
                <w:rFonts w:hint="eastAsia"/>
                <w:color w:val="auto"/>
                <w:szCs w:val="21"/>
                <w:u w:val="single"/>
                <w:lang w:val="en-US" w:eastAsia="zh-CN"/>
              </w:rPr>
              <w:t>壹</w:t>
            </w:r>
            <w:r>
              <w:rPr>
                <w:color w:val="auto"/>
                <w:szCs w:val="21"/>
              </w:rPr>
              <w:t>份，副本</w:t>
            </w:r>
            <w:r>
              <w:rPr>
                <w:rFonts w:hint="eastAsia"/>
                <w:color w:val="auto"/>
                <w:szCs w:val="21"/>
                <w:u w:val="single"/>
                <w:lang w:val="en-US" w:eastAsia="zh-CN"/>
              </w:rPr>
              <w:t>壹</w:t>
            </w:r>
            <w:r>
              <w:rPr>
                <w:color w:val="auto"/>
                <w:szCs w:val="21"/>
              </w:rPr>
              <w:t>份；</w:t>
            </w:r>
            <w:r>
              <w:rPr>
                <w:rFonts w:hint="eastAsia"/>
                <w:color w:val="auto"/>
                <w:szCs w:val="21"/>
                <w:lang w:eastAsia="zh-CN"/>
              </w:rPr>
              <w:t>电子档</w:t>
            </w:r>
            <w:r>
              <w:rPr>
                <w:rFonts w:hint="eastAsia"/>
                <w:color w:val="auto"/>
                <w:szCs w:val="21"/>
                <w:lang w:val="en-US" w:eastAsia="zh-CN"/>
              </w:rPr>
              <w:t>U盘一份。</w:t>
            </w:r>
            <w:r>
              <w:rPr>
                <w:color w:val="auto"/>
              </w:rPr>
              <w:t>正本和副本的封面上应清楚地标记“正本”或“副本”的字样。当副本和正本不一致时，以正本为准。</w:t>
            </w:r>
          </w:p>
        </w:tc>
      </w:tr>
      <w:tr w14:paraId="1298FA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71650C55">
            <w:pPr>
              <w:adjustRightInd w:val="0"/>
              <w:snapToGrid w:val="0"/>
              <w:spacing w:line="360" w:lineRule="auto"/>
              <w:rPr>
                <w:rFonts w:ascii="宋体" w:hAnsi="宋体" w:eastAsia="宋体"/>
                <w:b/>
                <w:bCs/>
                <w:color w:val="auto"/>
                <w:szCs w:val="21"/>
              </w:rPr>
            </w:pPr>
            <w:r>
              <w:rPr>
                <w:rFonts w:hint="eastAsia" w:ascii="宋体" w:hAnsi="宋体" w:eastAsia="宋体"/>
                <w:b/>
                <w:color w:val="auto"/>
                <w:szCs w:val="21"/>
              </w:rPr>
              <w:t>四、投标</w:t>
            </w:r>
          </w:p>
        </w:tc>
      </w:tr>
      <w:tr w14:paraId="0616DB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6973268">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第21.1</w:t>
            </w:r>
            <w:r>
              <w:rPr>
                <w:rFonts w:hint="eastAsia" w:ascii="宋体" w:hAnsi="宋体" w:eastAsia="宋体" w:cs="宋体"/>
                <w:color w:val="auto"/>
                <w:kern w:val="0"/>
                <w:szCs w:val="21"/>
                <w:lang w:val="zh-CN"/>
              </w:rPr>
              <w:t>款</w:t>
            </w:r>
          </w:p>
        </w:tc>
        <w:tc>
          <w:tcPr>
            <w:tcW w:w="2863" w:type="dxa"/>
            <w:noWrap w:val="0"/>
            <w:vAlign w:val="center"/>
          </w:tcPr>
          <w:p w14:paraId="3A858E7C">
            <w:pPr>
              <w:adjustRightInd w:val="0"/>
              <w:snapToGrid w:val="0"/>
              <w:spacing w:line="360" w:lineRule="auto"/>
              <w:jc w:val="left"/>
              <w:rPr>
                <w:rFonts w:ascii="宋体" w:hAnsi="宋体" w:eastAsia="宋体"/>
                <w:color w:val="auto"/>
                <w:szCs w:val="21"/>
              </w:rPr>
            </w:pPr>
            <w:r>
              <w:rPr>
                <w:rFonts w:hint="eastAsia" w:ascii="宋体" w:hAnsi="宋体" w:eastAsia="宋体"/>
                <w:color w:val="auto"/>
                <w:szCs w:val="21"/>
              </w:rPr>
              <w:t>投标截止时间及投标地点</w:t>
            </w:r>
          </w:p>
        </w:tc>
        <w:tc>
          <w:tcPr>
            <w:tcW w:w="4508" w:type="dxa"/>
            <w:noWrap w:val="0"/>
            <w:vAlign w:val="center"/>
          </w:tcPr>
          <w:p w14:paraId="7B54BE6A">
            <w:pPr>
              <w:widowControl w:val="0"/>
              <w:adjustRightInd w:val="0"/>
              <w:snapToGrid w:val="0"/>
              <w:spacing w:line="360" w:lineRule="auto"/>
              <w:textAlignment w:val="auto"/>
              <w:rPr>
                <w:rFonts w:hint="eastAsia" w:ascii="宋体" w:hAnsi="宋体" w:eastAsia="宋体" w:cs="Times New Roman"/>
                <w:color w:val="auto"/>
                <w:szCs w:val="21"/>
                <w:lang w:eastAsia="zh-CN"/>
              </w:rPr>
            </w:pPr>
            <w:r>
              <w:rPr>
                <w:rFonts w:hint="eastAsia" w:ascii="宋体" w:hAnsi="宋体" w:cs="Times New Roman"/>
                <w:color w:val="auto"/>
                <w:szCs w:val="21"/>
              </w:rPr>
              <w:t>投标截止时间：</w:t>
            </w:r>
            <w:r>
              <w:rPr>
                <w:rFonts w:hint="eastAsia" w:ascii="宋体" w:hAnsi="宋体" w:cs="Times New Roman"/>
                <w:color w:val="auto"/>
                <w:szCs w:val="21"/>
                <w:lang w:eastAsia="zh-CN"/>
              </w:rPr>
              <w:t>详见第一章公告。</w:t>
            </w:r>
          </w:p>
          <w:p w14:paraId="6BB05F33">
            <w:pPr>
              <w:adjustRightInd w:val="0"/>
              <w:snapToGrid w:val="0"/>
              <w:spacing w:line="360" w:lineRule="auto"/>
              <w:rPr>
                <w:rFonts w:ascii="宋体" w:hAnsi="宋体" w:eastAsia="宋体"/>
                <w:bCs/>
                <w:color w:val="auto"/>
                <w:szCs w:val="21"/>
              </w:rPr>
            </w:pPr>
            <w:r>
              <w:rPr>
                <w:rFonts w:hint="eastAsia" w:ascii="宋体" w:hAnsi="宋体" w:cs="Times New Roman"/>
                <w:color w:val="auto"/>
                <w:szCs w:val="21"/>
              </w:rPr>
              <w:t>投标地点：</w:t>
            </w:r>
            <w:r>
              <w:rPr>
                <w:rFonts w:hint="eastAsia" w:ascii="宋体" w:hAnsi="宋体" w:cs="宋体"/>
                <w:color w:val="auto"/>
                <w:sz w:val="21"/>
                <w:szCs w:val="21"/>
                <w:lang w:eastAsia="zh-CN"/>
              </w:rPr>
              <w:t>娄底市万宝新区开发投资集团有限公司</w:t>
            </w:r>
            <w:r>
              <w:rPr>
                <w:rFonts w:hint="eastAsia" w:ascii="宋体" w:hAnsi="宋体" w:cs="宋体"/>
                <w:color w:val="auto"/>
                <w:sz w:val="21"/>
                <w:szCs w:val="21"/>
                <w:u w:val="single"/>
                <w:lang w:val="en-US" w:eastAsia="zh-CN"/>
              </w:rPr>
              <w:t>519会议室</w:t>
            </w:r>
            <w:r>
              <w:rPr>
                <w:rFonts w:hint="eastAsia" w:ascii="宋体" w:hAnsi="宋体" w:cs="宋体"/>
                <w:color w:val="auto"/>
                <w:sz w:val="21"/>
                <w:szCs w:val="21"/>
                <w:lang w:eastAsia="zh-CN"/>
              </w:rPr>
              <w:t>（娄底市静安街百弘学府城</w:t>
            </w:r>
            <w:r>
              <w:rPr>
                <w:rFonts w:hint="eastAsia" w:ascii="宋体" w:hAnsi="宋体" w:cs="宋体"/>
                <w:color w:val="auto"/>
                <w:sz w:val="21"/>
                <w:szCs w:val="21"/>
                <w:lang w:val="en-US" w:eastAsia="zh-CN"/>
              </w:rPr>
              <w:t>B6栋5楼</w:t>
            </w:r>
            <w:r>
              <w:rPr>
                <w:rFonts w:hint="eastAsia" w:ascii="宋体" w:hAnsi="宋体" w:cs="宋体"/>
                <w:color w:val="auto"/>
                <w:sz w:val="21"/>
                <w:szCs w:val="21"/>
                <w:lang w:eastAsia="zh-CN"/>
              </w:rPr>
              <w:t>）</w:t>
            </w:r>
            <w:r>
              <w:rPr>
                <w:rFonts w:hint="eastAsia" w:ascii="宋体" w:hAnsi="宋体" w:cs="Times New Roman"/>
                <w:color w:val="auto"/>
                <w:szCs w:val="21"/>
              </w:rPr>
              <w:t xml:space="preserve">    </w:t>
            </w:r>
          </w:p>
        </w:tc>
      </w:tr>
      <w:tr w14:paraId="6CD96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3B73841C">
            <w:pPr>
              <w:adjustRightInd w:val="0"/>
              <w:snapToGrid w:val="0"/>
              <w:spacing w:line="360" w:lineRule="auto"/>
              <w:rPr>
                <w:rFonts w:ascii="宋体" w:hAnsi="宋体" w:eastAsia="宋体"/>
                <w:color w:val="auto"/>
                <w:szCs w:val="21"/>
              </w:rPr>
            </w:pPr>
            <w:r>
              <w:rPr>
                <w:rFonts w:hint="eastAsia" w:ascii="宋体" w:hAnsi="宋体" w:eastAsia="宋体"/>
                <w:b/>
                <w:bCs/>
                <w:color w:val="auto"/>
                <w:szCs w:val="21"/>
              </w:rPr>
              <w:t>五、开标、资格审查和评标</w:t>
            </w:r>
          </w:p>
        </w:tc>
      </w:tr>
      <w:tr w14:paraId="06C92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42C0AD90">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第24.1</w:t>
            </w:r>
            <w:r>
              <w:rPr>
                <w:rFonts w:hint="eastAsia" w:ascii="宋体" w:hAnsi="宋体" w:eastAsia="宋体" w:cs="宋体"/>
                <w:color w:val="auto"/>
                <w:kern w:val="0"/>
                <w:szCs w:val="21"/>
                <w:lang w:val="zh-CN"/>
              </w:rPr>
              <w:t>款</w:t>
            </w:r>
          </w:p>
        </w:tc>
        <w:tc>
          <w:tcPr>
            <w:tcW w:w="2863" w:type="dxa"/>
            <w:noWrap w:val="0"/>
            <w:vAlign w:val="center"/>
          </w:tcPr>
          <w:p w14:paraId="7400FD6A">
            <w:pPr>
              <w:adjustRightInd w:val="0"/>
              <w:snapToGrid w:val="0"/>
              <w:spacing w:line="360" w:lineRule="auto"/>
              <w:jc w:val="left"/>
              <w:rPr>
                <w:rFonts w:ascii="宋体" w:hAnsi="宋体" w:eastAsia="宋体"/>
                <w:color w:val="auto"/>
                <w:szCs w:val="21"/>
              </w:rPr>
            </w:pPr>
            <w:r>
              <w:rPr>
                <w:rFonts w:hint="eastAsia" w:ascii="宋体" w:hAnsi="宋体" w:eastAsia="宋体"/>
                <w:bCs/>
                <w:color w:val="auto"/>
                <w:szCs w:val="21"/>
              </w:rPr>
              <w:t>开标地点</w:t>
            </w:r>
            <w:r>
              <w:rPr>
                <w:rFonts w:hint="eastAsia" w:ascii="宋体" w:hAnsi="宋体" w:eastAsia="宋体"/>
                <w:color w:val="auto"/>
                <w:szCs w:val="21"/>
              </w:rPr>
              <w:t xml:space="preserve"> </w:t>
            </w:r>
          </w:p>
        </w:tc>
        <w:tc>
          <w:tcPr>
            <w:tcW w:w="4508" w:type="dxa"/>
            <w:noWrap w:val="0"/>
            <w:vAlign w:val="center"/>
          </w:tcPr>
          <w:p w14:paraId="052B24E3">
            <w:pPr>
              <w:widowControl w:val="0"/>
              <w:adjustRightInd w:val="0"/>
              <w:snapToGrid w:val="0"/>
              <w:spacing w:line="360" w:lineRule="auto"/>
              <w:textAlignment w:val="auto"/>
              <w:rPr>
                <w:rFonts w:ascii="MS Gothic" w:hAnsi="MS Gothic" w:cs="MS Gothic"/>
                <w:color w:val="auto"/>
                <w:szCs w:val="21"/>
              </w:rPr>
            </w:pPr>
            <w:r>
              <w:rPr>
                <w:rFonts w:hint="eastAsia" w:ascii="MS Gothic" w:hAnsi="MS Gothic" w:eastAsia="MS Gothic" w:cs="MS Gothic"/>
                <w:color w:val="auto"/>
                <w:szCs w:val="21"/>
              </w:rPr>
              <w:t>■</w:t>
            </w:r>
            <w:r>
              <w:rPr>
                <w:rFonts w:hint="eastAsia" w:ascii="宋体" w:hAnsi="宋体" w:cs="Times New Roman"/>
                <w:color w:val="auto"/>
                <w:szCs w:val="21"/>
              </w:rPr>
              <w:t>同投标地点</w:t>
            </w:r>
          </w:p>
          <w:p w14:paraId="7FA52AAE">
            <w:pPr>
              <w:adjustRightInd w:val="0"/>
              <w:snapToGrid w:val="0"/>
              <w:spacing w:line="360" w:lineRule="auto"/>
              <w:rPr>
                <w:rFonts w:ascii="宋体" w:hAnsi="宋体" w:eastAsia="宋体"/>
                <w:color w:val="auto"/>
                <w:szCs w:val="21"/>
              </w:rPr>
            </w:pPr>
            <w:r>
              <w:rPr>
                <w:rFonts w:ascii="MS Gothic" w:hAnsi="MS Gothic" w:cs="MS Gothic"/>
                <w:color w:val="auto"/>
                <w:szCs w:val="21"/>
              </w:rPr>
              <w:t>☐</w:t>
            </w:r>
            <w:r>
              <w:rPr>
                <w:rFonts w:hint="eastAsia" w:ascii="MS Gothic" w:hAnsi="MS Gothic" w:cs="MS Gothic"/>
                <w:color w:val="auto"/>
                <w:szCs w:val="21"/>
              </w:rPr>
              <w:t>其他地点：</w:t>
            </w:r>
          </w:p>
        </w:tc>
      </w:tr>
      <w:tr w14:paraId="4CDD7A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45A5A987">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第24.2</w:t>
            </w:r>
            <w:r>
              <w:rPr>
                <w:rFonts w:hint="eastAsia" w:ascii="宋体" w:hAnsi="宋体" w:eastAsia="宋体" w:cs="宋体"/>
                <w:color w:val="auto"/>
                <w:kern w:val="0"/>
                <w:szCs w:val="21"/>
                <w:lang w:val="zh-CN"/>
              </w:rPr>
              <w:t>款</w:t>
            </w:r>
          </w:p>
        </w:tc>
        <w:tc>
          <w:tcPr>
            <w:tcW w:w="2863" w:type="dxa"/>
            <w:noWrap w:val="0"/>
            <w:vAlign w:val="center"/>
          </w:tcPr>
          <w:p w14:paraId="63FA7A8F">
            <w:pPr>
              <w:adjustRightInd w:val="0"/>
              <w:snapToGrid w:val="0"/>
              <w:spacing w:line="360" w:lineRule="auto"/>
              <w:jc w:val="left"/>
              <w:rPr>
                <w:rFonts w:ascii="宋体" w:hAnsi="宋体" w:eastAsia="宋体"/>
                <w:color w:val="auto"/>
                <w:szCs w:val="21"/>
              </w:rPr>
            </w:pPr>
            <w:r>
              <w:rPr>
                <w:rFonts w:hint="eastAsia" w:ascii="宋体" w:hAnsi="宋体" w:eastAsia="宋体"/>
                <w:color w:val="auto"/>
                <w:szCs w:val="21"/>
              </w:rPr>
              <w:t>需要宣布的其他内容</w:t>
            </w:r>
          </w:p>
        </w:tc>
        <w:tc>
          <w:tcPr>
            <w:tcW w:w="4508" w:type="dxa"/>
            <w:noWrap w:val="0"/>
            <w:vAlign w:val="center"/>
          </w:tcPr>
          <w:p w14:paraId="0360458B">
            <w:pPr>
              <w:adjustRightInd w:val="0"/>
              <w:snapToGrid w:val="0"/>
              <w:spacing w:line="360" w:lineRule="auto"/>
              <w:rPr>
                <w:rFonts w:ascii="宋体" w:hAnsi="宋体" w:eastAsia="宋体"/>
                <w:color w:val="auto"/>
                <w:szCs w:val="21"/>
              </w:rPr>
            </w:pPr>
            <w:r>
              <w:rPr>
                <w:rFonts w:hint="eastAsia" w:ascii="宋体" w:hAnsi="宋体" w:cs="Times New Roman"/>
                <w:color w:val="auto"/>
                <w:szCs w:val="21"/>
              </w:rPr>
              <w:t>投标报价</w:t>
            </w:r>
          </w:p>
        </w:tc>
      </w:tr>
      <w:tr w14:paraId="12E11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24C18890">
            <w:pPr>
              <w:adjustRightInd w:val="0"/>
              <w:snapToGrid w:val="0"/>
              <w:spacing w:line="360" w:lineRule="auto"/>
              <w:rPr>
                <w:rFonts w:ascii="宋体" w:hAnsi="宋体" w:eastAsia="宋体"/>
                <w:b/>
                <w:color w:val="auto"/>
                <w:szCs w:val="21"/>
              </w:rPr>
            </w:pPr>
            <w:r>
              <w:rPr>
                <w:rFonts w:hint="eastAsia" w:ascii="宋体" w:hAnsi="宋体" w:eastAsia="宋体"/>
                <w:b/>
                <w:color w:val="auto"/>
                <w:szCs w:val="21"/>
              </w:rPr>
              <w:t>六、中标信息公布</w:t>
            </w:r>
          </w:p>
        </w:tc>
      </w:tr>
      <w:tr w14:paraId="0DCCD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0254BAB1">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第28.2</w:t>
            </w:r>
            <w:r>
              <w:rPr>
                <w:rFonts w:hint="eastAsia" w:ascii="宋体" w:hAnsi="宋体" w:eastAsia="宋体" w:cs="宋体"/>
                <w:color w:val="auto"/>
                <w:kern w:val="0"/>
                <w:szCs w:val="21"/>
                <w:lang w:val="zh-CN"/>
              </w:rPr>
              <w:t>款</w:t>
            </w:r>
          </w:p>
        </w:tc>
        <w:tc>
          <w:tcPr>
            <w:tcW w:w="2863" w:type="dxa"/>
            <w:noWrap w:val="0"/>
            <w:vAlign w:val="center"/>
          </w:tcPr>
          <w:p w14:paraId="5CA5365E">
            <w:pPr>
              <w:adjustRightInd w:val="0"/>
              <w:snapToGrid w:val="0"/>
              <w:spacing w:line="360" w:lineRule="auto"/>
              <w:jc w:val="left"/>
              <w:rPr>
                <w:rFonts w:ascii="宋体" w:hAnsi="宋体" w:eastAsia="宋体"/>
                <w:color w:val="auto"/>
                <w:szCs w:val="21"/>
              </w:rPr>
            </w:pPr>
            <w:r>
              <w:rPr>
                <w:rFonts w:hint="eastAsia" w:ascii="宋体" w:hAnsi="宋体" w:eastAsia="宋体"/>
                <w:color w:val="auto"/>
                <w:szCs w:val="21"/>
              </w:rPr>
              <w:t>中标候选人并列时确定中标人的方式</w:t>
            </w:r>
          </w:p>
        </w:tc>
        <w:tc>
          <w:tcPr>
            <w:tcW w:w="4508" w:type="dxa"/>
            <w:noWrap w:val="0"/>
            <w:vAlign w:val="center"/>
          </w:tcPr>
          <w:p w14:paraId="2C5F13F5">
            <w:pPr>
              <w:pStyle w:val="35"/>
              <w:widowControl w:val="0"/>
              <w:spacing w:line="360" w:lineRule="auto"/>
              <w:ind w:firstLine="420" w:firstLineChars="200"/>
              <w:rPr>
                <w:rFonts w:hint="eastAsia" w:ascii="宋体" w:hAnsi="宋体" w:eastAsia="宋体"/>
                <w:color w:val="auto"/>
                <w:szCs w:val="21"/>
                <w:lang w:eastAsia="zh-CN"/>
              </w:rPr>
            </w:pPr>
            <w:r>
              <w:rPr>
                <w:rFonts w:hint="eastAsia" w:ascii="宋体" w:hAnsi="宋体" w:cs="Times New Roman"/>
                <w:color w:val="auto"/>
                <w:szCs w:val="21"/>
              </w:rPr>
              <w:t>完全满足</w:t>
            </w:r>
            <w:r>
              <w:rPr>
                <w:rFonts w:hint="eastAsia" w:ascii="宋体" w:hAnsi="宋体" w:cs="Times New Roman"/>
                <w:color w:val="auto"/>
                <w:szCs w:val="21"/>
                <w:lang w:val="en-US" w:eastAsia="zh-CN"/>
              </w:rPr>
              <w:t>询价比选</w:t>
            </w:r>
            <w:r>
              <w:rPr>
                <w:rFonts w:hint="eastAsia" w:ascii="宋体" w:hAnsi="宋体" w:cs="Times New Roman"/>
                <w:color w:val="auto"/>
                <w:szCs w:val="21"/>
              </w:rPr>
              <w:t>文件实质性需求且综合得分最高的单位为中标单位，得分相同的，按投标报价由低到高顺序排列；得分且投标报价相同的，按技术服务指标优劣顺序排列</w:t>
            </w:r>
            <w:r>
              <w:rPr>
                <w:rFonts w:hint="eastAsia" w:ascii="宋体" w:hAnsi="宋体" w:cs="Times New Roman"/>
                <w:color w:val="auto"/>
                <w:szCs w:val="21"/>
                <w:lang w:eastAsia="zh-CN"/>
              </w:rPr>
              <w:t>；</w:t>
            </w:r>
            <w:r>
              <w:rPr>
                <w:rFonts w:hint="eastAsia" w:ascii="宋体" w:hAnsi="宋体" w:eastAsia="宋体"/>
                <w:color w:val="auto"/>
                <w:szCs w:val="21"/>
                <w:lang w:eastAsia="zh-CN"/>
              </w:rPr>
              <w:t>以上因素仍相同</w:t>
            </w:r>
            <w:r>
              <w:rPr>
                <w:rFonts w:hint="eastAsia" w:ascii="宋体" w:hAnsi="宋体" w:eastAsia="宋体"/>
                <w:color w:val="auto"/>
                <w:szCs w:val="21"/>
              </w:rPr>
              <w:t>的，采取随机抽取的方式确定。</w:t>
            </w:r>
          </w:p>
        </w:tc>
      </w:tr>
      <w:tr w14:paraId="2C6B3C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5D9A62A8">
            <w:pPr>
              <w:adjustRightInd w:val="0"/>
              <w:snapToGrid w:val="0"/>
              <w:spacing w:line="360" w:lineRule="auto"/>
              <w:rPr>
                <w:rFonts w:ascii="宋体" w:hAnsi="宋体" w:eastAsia="宋体"/>
                <w:color w:val="auto"/>
                <w:szCs w:val="21"/>
              </w:rPr>
            </w:pPr>
            <w:r>
              <w:rPr>
                <w:rFonts w:hint="eastAsia" w:ascii="宋体" w:hAnsi="宋体" w:eastAsia="宋体"/>
                <w:b/>
                <w:color w:val="auto"/>
                <w:szCs w:val="21"/>
              </w:rPr>
              <w:t>七、合同签订</w:t>
            </w:r>
          </w:p>
        </w:tc>
      </w:tr>
      <w:tr w14:paraId="44862F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26D4A87F">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第31.1</w:t>
            </w:r>
            <w:r>
              <w:rPr>
                <w:rFonts w:hint="eastAsia" w:ascii="宋体" w:hAnsi="宋体" w:eastAsia="宋体" w:cs="宋体"/>
                <w:color w:val="auto"/>
                <w:kern w:val="0"/>
                <w:szCs w:val="21"/>
                <w:lang w:val="zh-CN"/>
              </w:rPr>
              <w:t>款</w:t>
            </w:r>
          </w:p>
        </w:tc>
        <w:tc>
          <w:tcPr>
            <w:tcW w:w="2863" w:type="dxa"/>
            <w:noWrap w:val="0"/>
            <w:vAlign w:val="center"/>
          </w:tcPr>
          <w:p w14:paraId="0AF09481">
            <w:pPr>
              <w:adjustRightInd w:val="0"/>
              <w:snapToGrid w:val="0"/>
              <w:spacing w:line="360" w:lineRule="auto"/>
              <w:jc w:val="left"/>
              <w:rPr>
                <w:rFonts w:ascii="宋体" w:hAnsi="宋体" w:eastAsia="宋体"/>
                <w:color w:val="auto"/>
                <w:szCs w:val="21"/>
              </w:rPr>
            </w:pPr>
            <w:r>
              <w:rPr>
                <w:rFonts w:hint="eastAsia" w:ascii="宋体" w:hAnsi="宋体" w:eastAsia="宋体"/>
                <w:color w:val="auto"/>
                <w:szCs w:val="21"/>
              </w:rPr>
              <w:t>履约担保</w:t>
            </w:r>
          </w:p>
        </w:tc>
        <w:tc>
          <w:tcPr>
            <w:tcW w:w="4508" w:type="dxa"/>
            <w:noWrap w:val="0"/>
            <w:vAlign w:val="center"/>
          </w:tcPr>
          <w:p w14:paraId="7D6EA2E3">
            <w:pPr>
              <w:wordWrap w:val="0"/>
              <w:autoSpaceDE w:val="0"/>
              <w:spacing w:line="360" w:lineRule="exact"/>
              <w:rPr>
                <w:color w:val="auto"/>
                <w:szCs w:val="21"/>
              </w:rPr>
            </w:pPr>
            <w:r>
              <w:rPr>
                <w:rFonts w:hint="eastAsia" w:ascii="Segoe UI Symbol" w:hAnsi="Segoe UI Symbol" w:cs="Segoe UI Symbol"/>
                <w:color w:val="auto"/>
                <w:lang w:eastAsia="zh-CN"/>
              </w:rPr>
              <w:t>☑</w:t>
            </w:r>
            <w:r>
              <w:rPr>
                <w:rFonts w:hint="eastAsia"/>
                <w:color w:val="auto"/>
              </w:rPr>
              <w:t xml:space="preserve"> </w:t>
            </w:r>
            <w:r>
              <w:rPr>
                <w:rFonts w:hint="eastAsia" w:ascii="宋体" w:hAnsi="宋体"/>
                <w:color w:val="auto"/>
              </w:rPr>
              <w:t>不要求提供</w:t>
            </w:r>
          </w:p>
          <w:p w14:paraId="69B567AF">
            <w:pPr>
              <w:wordWrap w:val="0"/>
              <w:autoSpaceDE w:val="0"/>
              <w:spacing w:line="360" w:lineRule="exact"/>
              <w:rPr>
                <w:color w:val="auto"/>
              </w:rPr>
            </w:pPr>
            <w:r>
              <w:rPr>
                <w:rFonts w:hint="eastAsia" w:ascii="Segoe UI Symbol" w:hAnsi="Segoe UI Symbol" w:cs="Segoe UI Symbol"/>
                <w:color w:val="auto"/>
                <w:lang w:eastAsia="zh-CN"/>
              </w:rPr>
              <w:t>□</w:t>
            </w:r>
            <w:r>
              <w:rPr>
                <w:rFonts w:hint="eastAsia"/>
                <w:color w:val="auto"/>
              </w:rPr>
              <w:t xml:space="preserve"> </w:t>
            </w:r>
            <w:r>
              <w:rPr>
                <w:rFonts w:hint="eastAsia" w:ascii="宋体" w:hAnsi="宋体"/>
                <w:color w:val="auto"/>
              </w:rPr>
              <w:t>要求提供</w:t>
            </w:r>
          </w:p>
          <w:p w14:paraId="0840D50C">
            <w:pPr>
              <w:adjustRightInd w:val="0"/>
              <w:snapToGrid w:val="0"/>
              <w:spacing w:line="360" w:lineRule="auto"/>
              <w:rPr>
                <w:rFonts w:ascii="宋体" w:hAnsi="宋体" w:eastAsia="宋体"/>
                <w:strike/>
                <w:color w:val="auto"/>
                <w:szCs w:val="21"/>
              </w:rPr>
            </w:pPr>
            <w:r>
              <w:rPr>
                <w:rFonts w:hint="eastAsia" w:ascii="宋体" w:hAnsi="宋体"/>
                <w:color w:val="auto"/>
              </w:rPr>
              <w:t>履约担保的金额及方式：金额为中标金额的5%，形式为连带责任履约保函（银行业金融机构保函、保险公司保证保函、融资性担保公司保函）或现金，担保期限从合同生效之日起至本项目整体竣工验收合格后30日内（以现金方式提供的不计息）。</w:t>
            </w:r>
            <w:r>
              <w:rPr>
                <w:rFonts w:hint="eastAsia" w:ascii="宋体" w:hAnsi="宋体" w:eastAsia="宋体"/>
                <w:color w:val="auto"/>
                <w:szCs w:val="21"/>
              </w:rPr>
              <w:t xml:space="preserve">  </w:t>
            </w:r>
            <w:r>
              <w:rPr>
                <w:rFonts w:hint="eastAsia" w:ascii="宋体" w:hAnsi="宋体" w:cs="Times New Roman"/>
                <w:color w:val="auto"/>
                <w:szCs w:val="21"/>
              </w:rPr>
              <w:t xml:space="preserve">    </w:t>
            </w:r>
          </w:p>
        </w:tc>
      </w:tr>
      <w:tr w14:paraId="27F2C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8931" w:type="dxa"/>
            <w:gridSpan w:val="3"/>
            <w:noWrap w:val="0"/>
            <w:vAlign w:val="center"/>
          </w:tcPr>
          <w:p w14:paraId="6DB5A6BD">
            <w:pPr>
              <w:adjustRightInd w:val="0"/>
              <w:snapToGrid w:val="0"/>
              <w:spacing w:line="360" w:lineRule="auto"/>
              <w:rPr>
                <w:rFonts w:ascii="宋体" w:hAnsi="宋体" w:eastAsia="宋体"/>
                <w:color w:val="auto"/>
                <w:szCs w:val="21"/>
              </w:rPr>
            </w:pPr>
            <w:r>
              <w:rPr>
                <w:rFonts w:hint="eastAsia" w:ascii="宋体" w:hAnsi="宋体"/>
                <w:b/>
                <w:color w:val="auto"/>
                <w:szCs w:val="21"/>
                <w:lang w:val="en-US" w:eastAsia="zh-CN"/>
              </w:rPr>
              <w:t>八</w:t>
            </w:r>
            <w:r>
              <w:rPr>
                <w:rFonts w:hint="eastAsia" w:ascii="宋体" w:hAnsi="宋体" w:eastAsia="宋体"/>
                <w:b/>
                <w:color w:val="auto"/>
                <w:szCs w:val="21"/>
              </w:rPr>
              <w:t>、其他规定</w:t>
            </w:r>
          </w:p>
        </w:tc>
      </w:tr>
      <w:tr w14:paraId="5B2C4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14B96C17">
            <w:pPr>
              <w:adjustRightInd w:val="0"/>
              <w:snapToGrid w:val="0"/>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rPr>
              <w:t>第35.1</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1</w:t>
            </w:r>
            <w:r>
              <w:rPr>
                <w:rFonts w:hint="eastAsia" w:ascii="宋体" w:hAnsi="宋体" w:eastAsia="宋体" w:cs="宋体"/>
                <w:color w:val="auto"/>
                <w:kern w:val="0"/>
                <w:szCs w:val="21"/>
                <w:lang w:val="zh-CN"/>
              </w:rPr>
              <w:t>）</w:t>
            </w:r>
            <w:r>
              <w:rPr>
                <w:rFonts w:hint="eastAsia" w:ascii="宋体" w:hAnsi="宋体" w:cs="宋体"/>
                <w:color w:val="auto"/>
                <w:kern w:val="0"/>
                <w:szCs w:val="21"/>
                <w:lang w:val="en-US" w:eastAsia="zh-CN"/>
              </w:rPr>
              <w:t>项</w:t>
            </w:r>
          </w:p>
        </w:tc>
        <w:tc>
          <w:tcPr>
            <w:tcW w:w="2863" w:type="dxa"/>
            <w:noWrap w:val="0"/>
            <w:vAlign w:val="center"/>
          </w:tcPr>
          <w:p w14:paraId="6DDEBF65">
            <w:pPr>
              <w:adjustRightInd w:val="0"/>
              <w:snapToGrid w:val="0"/>
              <w:spacing w:line="360" w:lineRule="auto"/>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合同预付款的支付比例和支付条件</w:t>
            </w:r>
          </w:p>
        </w:tc>
        <w:tc>
          <w:tcPr>
            <w:tcW w:w="4508" w:type="dxa"/>
            <w:noWrap w:val="0"/>
            <w:vAlign w:val="center"/>
          </w:tcPr>
          <w:p w14:paraId="3FD2A626">
            <w:pPr>
              <w:adjustRightInd w:val="0"/>
              <w:snapToGrid w:val="0"/>
              <w:spacing w:line="360" w:lineRule="auto"/>
              <w:rPr>
                <w:rFonts w:hint="default" w:ascii="宋体" w:hAnsi="宋体" w:eastAsia="宋体"/>
                <w:color w:val="auto"/>
                <w:szCs w:val="21"/>
                <w:lang w:val="en-US" w:eastAsia="zh-CN"/>
              </w:rPr>
            </w:pPr>
            <w:r>
              <w:rPr>
                <w:rFonts w:hint="eastAsia" w:ascii="宋体" w:hAnsi="宋体"/>
                <w:color w:val="auto"/>
                <w:lang w:val="en-US" w:eastAsia="zh-CN"/>
              </w:rPr>
              <w:t>按合同约定执行。</w:t>
            </w:r>
          </w:p>
        </w:tc>
      </w:tr>
      <w:tr w14:paraId="7F421F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560" w:type="dxa"/>
            <w:noWrap w:val="0"/>
            <w:vAlign w:val="center"/>
          </w:tcPr>
          <w:p w14:paraId="45A89922">
            <w:pPr>
              <w:adjustRightInd w:val="0"/>
              <w:snapToGrid w:val="0"/>
              <w:spacing w:line="360" w:lineRule="auto"/>
              <w:jc w:val="center"/>
              <w:rPr>
                <w:rFonts w:hint="eastAsia" w:ascii="宋体" w:hAnsi="宋体" w:eastAsia="宋体"/>
                <w:color w:val="auto"/>
                <w:szCs w:val="21"/>
              </w:rPr>
            </w:pPr>
            <w:r>
              <w:rPr>
                <w:rFonts w:hint="eastAsia" w:ascii="宋体" w:hAnsi="宋体" w:eastAsia="宋体"/>
                <w:color w:val="auto"/>
                <w:szCs w:val="21"/>
              </w:rPr>
              <w:t>第35.1</w:t>
            </w: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1</w:t>
            </w:r>
            <w:r>
              <w:rPr>
                <w:rFonts w:hint="eastAsia" w:ascii="宋体" w:hAnsi="宋体" w:eastAsia="宋体" w:cs="宋体"/>
                <w:color w:val="auto"/>
                <w:kern w:val="0"/>
                <w:szCs w:val="21"/>
                <w:lang w:val="zh-CN"/>
              </w:rPr>
              <w:t>）</w:t>
            </w:r>
            <w:r>
              <w:rPr>
                <w:rFonts w:hint="eastAsia" w:ascii="宋体" w:hAnsi="宋体" w:cs="宋体"/>
                <w:color w:val="auto"/>
                <w:kern w:val="0"/>
                <w:szCs w:val="21"/>
                <w:lang w:val="en-US" w:eastAsia="zh-CN"/>
              </w:rPr>
              <w:t>项</w:t>
            </w:r>
          </w:p>
        </w:tc>
        <w:tc>
          <w:tcPr>
            <w:tcW w:w="2863" w:type="dxa"/>
            <w:noWrap w:val="0"/>
            <w:vAlign w:val="center"/>
          </w:tcPr>
          <w:p w14:paraId="1346B46E">
            <w:pPr>
              <w:adjustRightInd w:val="0"/>
              <w:snapToGrid w:val="0"/>
              <w:spacing w:line="360" w:lineRule="auto"/>
              <w:jc w:val="center"/>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质量保证金</w:t>
            </w:r>
          </w:p>
        </w:tc>
        <w:tc>
          <w:tcPr>
            <w:tcW w:w="4508" w:type="dxa"/>
            <w:noWrap w:val="0"/>
            <w:vAlign w:val="center"/>
          </w:tcPr>
          <w:p w14:paraId="45981246">
            <w:pPr>
              <w:adjustRightInd w:val="0"/>
              <w:snapToGrid w:val="0"/>
              <w:spacing w:line="360" w:lineRule="auto"/>
              <w:rPr>
                <w:rFonts w:hint="default" w:ascii="宋体" w:hAnsi="宋体"/>
                <w:color w:val="auto"/>
                <w:lang w:val="en-US" w:eastAsia="zh-CN"/>
              </w:rPr>
            </w:pPr>
            <w:r>
              <w:rPr>
                <w:rFonts w:hint="eastAsia" w:ascii="宋体" w:hAnsi="宋体"/>
                <w:color w:val="auto"/>
                <w:lang w:val="en-US" w:eastAsia="zh-CN"/>
              </w:rPr>
              <w:t>（根据项目类型设置）</w:t>
            </w:r>
          </w:p>
        </w:tc>
      </w:tr>
      <w:tr w14:paraId="444387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60" w:type="dxa"/>
            <w:noWrap w:val="0"/>
            <w:vAlign w:val="center"/>
          </w:tcPr>
          <w:p w14:paraId="58EECDE7">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第35.2</w:t>
            </w:r>
            <w:r>
              <w:rPr>
                <w:rFonts w:hint="eastAsia" w:ascii="宋体" w:hAnsi="宋体" w:eastAsia="宋体" w:cs="宋体"/>
                <w:color w:val="auto"/>
                <w:kern w:val="0"/>
                <w:szCs w:val="21"/>
                <w:lang w:val="zh-CN"/>
              </w:rPr>
              <w:t>款</w:t>
            </w:r>
          </w:p>
        </w:tc>
        <w:tc>
          <w:tcPr>
            <w:tcW w:w="2863" w:type="dxa"/>
            <w:noWrap w:val="0"/>
            <w:vAlign w:val="center"/>
          </w:tcPr>
          <w:p w14:paraId="58315A52">
            <w:pPr>
              <w:adjustRightInd w:val="0"/>
              <w:snapToGrid w:val="0"/>
              <w:spacing w:line="360" w:lineRule="auto"/>
              <w:jc w:val="left"/>
              <w:rPr>
                <w:rFonts w:ascii="宋体" w:hAnsi="宋体" w:eastAsia="宋体"/>
                <w:color w:val="auto"/>
                <w:szCs w:val="21"/>
              </w:rPr>
            </w:pPr>
            <w:r>
              <w:rPr>
                <w:rFonts w:hint="eastAsia" w:ascii="宋体" w:hAnsi="宋体" w:eastAsia="宋体"/>
                <w:color w:val="auto"/>
                <w:szCs w:val="21"/>
              </w:rPr>
              <w:t>其他规定</w:t>
            </w:r>
          </w:p>
        </w:tc>
        <w:tc>
          <w:tcPr>
            <w:tcW w:w="4508" w:type="dxa"/>
            <w:noWrap w:val="0"/>
            <w:vAlign w:val="center"/>
          </w:tcPr>
          <w:p w14:paraId="2EBBDAEF">
            <w:pPr>
              <w:widowControl w:val="0"/>
              <w:adjustRightInd w:val="0"/>
              <w:snapToGrid w:val="0"/>
              <w:spacing w:line="360" w:lineRule="auto"/>
              <w:textAlignment w:val="auto"/>
              <w:rPr>
                <w:rFonts w:ascii="宋体" w:hAnsi="宋体" w:cs="Times New Roman"/>
                <w:color w:val="auto"/>
                <w:szCs w:val="21"/>
              </w:rPr>
            </w:pPr>
            <w:r>
              <w:rPr>
                <w:rFonts w:hint="eastAsia" w:ascii="宋体" w:hAnsi="宋体" w:cs="Times New Roman"/>
                <w:color w:val="auto"/>
                <w:szCs w:val="21"/>
                <w:lang w:val="en-US" w:eastAsia="zh-CN"/>
              </w:rPr>
              <w:t>1</w:t>
            </w:r>
            <w:r>
              <w:rPr>
                <w:rFonts w:hint="eastAsia" w:ascii="宋体" w:hAnsi="宋体" w:cs="Times New Roman"/>
                <w:color w:val="auto"/>
                <w:szCs w:val="21"/>
              </w:rPr>
              <w:t>、信用信息查询的查询渠道：“信用中国”网站（www.creditchina.gov.cn）、中国政府采购网（www.ccgp.gov.cn）。</w:t>
            </w:r>
          </w:p>
          <w:p w14:paraId="549BC84F">
            <w:pPr>
              <w:widowControl w:val="0"/>
              <w:adjustRightInd w:val="0"/>
              <w:snapToGrid w:val="0"/>
              <w:spacing w:line="360" w:lineRule="auto"/>
              <w:textAlignment w:val="auto"/>
              <w:rPr>
                <w:rFonts w:hint="eastAsia" w:ascii="宋体" w:hAnsi="宋体" w:cs="Times New Roman"/>
                <w:color w:val="auto"/>
                <w:szCs w:val="21"/>
              </w:rPr>
            </w:pPr>
            <w:r>
              <w:rPr>
                <w:rFonts w:hint="eastAsia" w:ascii="宋体" w:hAnsi="宋体" w:cs="Times New Roman"/>
                <w:color w:val="auto"/>
                <w:szCs w:val="21"/>
                <w:lang w:val="en-US" w:eastAsia="zh-CN"/>
              </w:rPr>
              <w:t>2</w:t>
            </w:r>
            <w:r>
              <w:rPr>
                <w:rFonts w:hint="eastAsia" w:ascii="宋体" w:hAnsi="宋体" w:cs="Times New Roman"/>
                <w:color w:val="auto"/>
                <w:szCs w:val="21"/>
              </w:rPr>
              <w:t>、信用信息查询的</w:t>
            </w:r>
            <w:r>
              <w:rPr>
                <w:rFonts w:hint="eastAsia" w:ascii="宋体" w:hAnsi="宋体" w:cs="Times New Roman"/>
                <w:color w:val="auto"/>
                <w:szCs w:val="21"/>
                <w:lang w:eastAsia="zh-CN"/>
              </w:rPr>
              <w:t>时间要求</w:t>
            </w:r>
            <w:r>
              <w:rPr>
                <w:rFonts w:hint="eastAsia" w:ascii="宋体" w:hAnsi="宋体" w:cs="Times New Roman"/>
                <w:color w:val="auto"/>
                <w:szCs w:val="21"/>
              </w:rPr>
              <w:t>：</w:t>
            </w:r>
            <w:r>
              <w:rPr>
                <w:rFonts w:hint="eastAsia" w:ascii="宋体" w:hAnsi="宋体" w:cs="Times New Roman"/>
                <w:color w:val="auto"/>
                <w:szCs w:val="21"/>
                <w:lang w:eastAsia="zh-CN"/>
              </w:rPr>
              <w:t>投标邀请公告发布后</w:t>
            </w:r>
            <w:r>
              <w:rPr>
                <w:rFonts w:hint="eastAsia" w:ascii="宋体" w:hAnsi="宋体" w:cs="Times New Roman"/>
                <w:color w:val="auto"/>
                <w:szCs w:val="21"/>
              </w:rPr>
              <w:t>至本项目投标截止</w:t>
            </w:r>
            <w:r>
              <w:rPr>
                <w:rFonts w:hint="eastAsia" w:ascii="宋体" w:hAnsi="宋体" w:cs="Times New Roman"/>
                <w:color w:val="auto"/>
                <w:szCs w:val="21"/>
                <w:lang w:eastAsia="zh-CN"/>
              </w:rPr>
              <w:t>期间的任意时间点</w:t>
            </w:r>
            <w:r>
              <w:rPr>
                <w:rFonts w:hint="eastAsia" w:ascii="宋体" w:hAnsi="宋体" w:cs="Times New Roman"/>
                <w:color w:val="auto"/>
                <w:szCs w:val="21"/>
              </w:rPr>
              <w:t>。</w:t>
            </w:r>
          </w:p>
          <w:p w14:paraId="4C6BDAB3">
            <w:pPr>
              <w:widowControl w:val="0"/>
              <w:adjustRightInd w:val="0"/>
              <w:snapToGrid w:val="0"/>
              <w:spacing w:line="360" w:lineRule="auto"/>
              <w:textAlignment w:val="auto"/>
              <w:rPr>
                <w:rFonts w:ascii="宋体" w:hAnsi="宋体" w:cs="Times New Roman"/>
                <w:color w:val="auto"/>
                <w:szCs w:val="21"/>
              </w:rPr>
            </w:pPr>
            <w:r>
              <w:rPr>
                <w:rFonts w:hint="eastAsia" w:ascii="宋体" w:hAnsi="宋体" w:cs="Times New Roman"/>
                <w:color w:val="auto"/>
                <w:szCs w:val="21"/>
                <w:lang w:val="en-US" w:eastAsia="zh-CN"/>
              </w:rPr>
              <w:t>3</w:t>
            </w:r>
            <w:r>
              <w:rPr>
                <w:rFonts w:hint="eastAsia" w:ascii="宋体" w:hAnsi="宋体" w:cs="Times New Roman"/>
                <w:color w:val="auto"/>
                <w:szCs w:val="21"/>
              </w:rPr>
              <w:t>、信用信息查询记录证据留存的具体方式：查询记录的网页打印件</w:t>
            </w:r>
            <w:r>
              <w:rPr>
                <w:rFonts w:hint="eastAsia" w:ascii="宋体" w:hAnsi="宋体" w:cs="Times New Roman"/>
                <w:color w:val="auto"/>
                <w:szCs w:val="21"/>
                <w:lang w:eastAsia="zh-CN"/>
              </w:rPr>
              <w:t>盖单位公章</w:t>
            </w:r>
            <w:r>
              <w:rPr>
                <w:rFonts w:hint="eastAsia" w:ascii="宋体" w:hAnsi="宋体" w:cs="Times New Roman"/>
                <w:color w:val="auto"/>
                <w:szCs w:val="21"/>
              </w:rPr>
              <w:t>。</w:t>
            </w:r>
          </w:p>
          <w:p w14:paraId="590983B4">
            <w:pPr>
              <w:adjustRightInd w:val="0"/>
              <w:snapToGrid w:val="0"/>
              <w:spacing w:line="360" w:lineRule="auto"/>
              <w:rPr>
                <w:rFonts w:hint="eastAsia" w:ascii="宋体" w:hAnsi="宋体" w:cs="Times New Roman"/>
                <w:color w:val="auto"/>
                <w:szCs w:val="21"/>
              </w:rPr>
            </w:pPr>
            <w:r>
              <w:rPr>
                <w:rFonts w:hint="eastAsia" w:ascii="宋体" w:hAnsi="宋体" w:cs="Times New Roman"/>
                <w:color w:val="auto"/>
                <w:szCs w:val="21"/>
                <w:lang w:val="en-US" w:eastAsia="zh-CN"/>
              </w:rPr>
              <w:t>4</w:t>
            </w:r>
            <w:r>
              <w:rPr>
                <w:rFonts w:hint="eastAsia" w:ascii="宋体" w:hAnsi="宋体" w:cs="Times New Roman"/>
                <w:color w:val="auto"/>
                <w:szCs w:val="21"/>
              </w:rPr>
              <w:t>、信用信息的使用规则：对列入失信被执行人、重大税收违法案件当事人名单、政府采购严重违法失信行为记录名单及其他不符合《中华人民共和国政府采购法》第二十二条规定条件的供应商，将拒绝其参与</w:t>
            </w:r>
            <w:r>
              <w:rPr>
                <w:rFonts w:hint="eastAsia" w:ascii="宋体" w:hAnsi="宋体" w:cs="Times New Roman"/>
                <w:color w:val="auto"/>
                <w:szCs w:val="21"/>
                <w:lang w:eastAsia="zh-CN"/>
              </w:rPr>
              <w:t>询价比选</w:t>
            </w:r>
            <w:r>
              <w:rPr>
                <w:rFonts w:hint="eastAsia" w:ascii="宋体" w:hAnsi="宋体" w:cs="Times New Roman"/>
                <w:color w:val="auto"/>
                <w:szCs w:val="21"/>
              </w:rPr>
              <w:t>活动。”</w:t>
            </w:r>
          </w:p>
          <w:p w14:paraId="725EBA09">
            <w:pPr>
              <w:pStyle w:val="24"/>
              <w:ind w:left="0" w:leftChars="0" w:firstLine="0" w:firstLineChars="0"/>
              <w:rPr>
                <w:color w:val="auto"/>
              </w:rPr>
            </w:pPr>
            <w:r>
              <w:rPr>
                <w:rFonts w:hint="eastAsia" w:ascii="宋体" w:hAnsi="宋体" w:cs="Times New Roman"/>
                <w:color w:val="auto"/>
                <w:szCs w:val="21"/>
                <w:lang w:val="en-US" w:eastAsia="zh-CN"/>
              </w:rPr>
              <w:t>5、</w:t>
            </w:r>
            <w:bookmarkStart w:id="16" w:name="_Toc21474"/>
            <w:bookmarkStart w:id="17" w:name="_Toc18194"/>
            <w:bookmarkStart w:id="18" w:name="_Toc22918"/>
            <w:r>
              <w:rPr>
                <w:rFonts w:hint="eastAsia"/>
                <w:color w:val="auto"/>
              </w:rPr>
              <w:t>本项目为</w:t>
            </w:r>
            <w:r>
              <w:rPr>
                <w:rFonts w:hint="eastAsia"/>
                <w:color w:val="auto"/>
                <w:lang w:eastAsia="zh-CN"/>
              </w:rPr>
              <w:t>企业</w:t>
            </w:r>
            <w:r>
              <w:rPr>
                <w:rFonts w:hint="eastAsia"/>
                <w:color w:val="auto"/>
              </w:rPr>
              <w:t>自主组织</w:t>
            </w:r>
            <w:r>
              <w:rPr>
                <w:rFonts w:hint="eastAsia"/>
                <w:color w:val="auto"/>
                <w:lang w:eastAsia="zh-CN"/>
              </w:rPr>
              <w:t>招标比选</w:t>
            </w:r>
            <w:r>
              <w:rPr>
                <w:rFonts w:hint="eastAsia"/>
                <w:color w:val="auto"/>
              </w:rPr>
              <w:t>采购，相关流程与招标文件参照</w:t>
            </w:r>
            <w:r>
              <w:rPr>
                <w:rFonts w:hint="eastAsia"/>
                <w:color w:val="auto"/>
                <w:lang w:val="en-US" w:eastAsia="zh-CN"/>
              </w:rPr>
              <w:t>或</w:t>
            </w:r>
            <w:r>
              <w:rPr>
                <w:rFonts w:hint="eastAsia"/>
                <w:color w:val="auto"/>
              </w:rPr>
              <w:t>借鉴政府采购公开招标相关模版编制，有关规定及投标文件的编制以本招标文件规定为准。</w:t>
            </w:r>
            <w:bookmarkEnd w:id="16"/>
            <w:bookmarkEnd w:id="17"/>
            <w:bookmarkEnd w:id="18"/>
          </w:p>
        </w:tc>
      </w:tr>
    </w:tbl>
    <w:p w14:paraId="31AEBF02">
      <w:pPr>
        <w:adjustRightInd w:val="0"/>
        <w:snapToGrid w:val="0"/>
        <w:spacing w:line="360" w:lineRule="auto"/>
        <w:rPr>
          <w:rFonts w:ascii="宋体" w:hAnsi="宋体"/>
          <w:b/>
          <w:color w:val="auto"/>
          <w:sz w:val="10"/>
          <w:szCs w:val="10"/>
        </w:rPr>
      </w:pPr>
      <w:r>
        <w:rPr>
          <w:rFonts w:ascii="宋体" w:hAnsi="宋体"/>
          <w:b/>
          <w:color w:val="auto"/>
          <w:szCs w:val="21"/>
        </w:rPr>
        <w:br w:type="page"/>
      </w:r>
    </w:p>
    <w:p w14:paraId="7BDF3CFC">
      <w:pPr>
        <w:pStyle w:val="5"/>
        <w:adjustRightInd w:val="0"/>
        <w:snapToGrid w:val="0"/>
        <w:spacing w:before="156" w:beforeLines="50"/>
        <w:jc w:val="center"/>
        <w:rPr>
          <w:rFonts w:ascii="黑体" w:hAnsi="黑体" w:eastAsia="黑体"/>
          <w:color w:val="auto"/>
          <w:sz w:val="28"/>
          <w:szCs w:val="28"/>
        </w:rPr>
      </w:pPr>
      <w:bookmarkStart w:id="19" w:name="_Toc19510"/>
      <w:bookmarkStart w:id="20" w:name="_Toc17427"/>
      <w:r>
        <w:rPr>
          <w:rFonts w:hint="eastAsia" w:ascii="黑体" w:hAnsi="黑体" w:eastAsia="黑体"/>
          <w:color w:val="auto"/>
          <w:sz w:val="28"/>
          <w:szCs w:val="28"/>
        </w:rPr>
        <w:t>第二节 投标须知</w:t>
      </w:r>
      <w:bookmarkEnd w:id="19"/>
      <w:bookmarkEnd w:id="20"/>
    </w:p>
    <w:p w14:paraId="7EEB5A6F">
      <w:pPr>
        <w:pStyle w:val="6"/>
        <w:adjustRightInd w:val="0"/>
        <w:snapToGrid w:val="0"/>
        <w:spacing w:before="156" w:beforeLines="50" w:after="0" w:line="360" w:lineRule="auto"/>
        <w:jc w:val="center"/>
        <w:rPr>
          <w:rFonts w:ascii="黑体" w:hAnsi="黑体" w:eastAsia="黑体"/>
          <w:b w:val="0"/>
          <w:color w:val="auto"/>
          <w:sz w:val="28"/>
          <w:szCs w:val="28"/>
        </w:rPr>
      </w:pPr>
      <w:bookmarkStart w:id="21" w:name="_Toc29574"/>
      <w:r>
        <w:rPr>
          <w:rFonts w:hint="eastAsia" w:ascii="黑体" w:hAnsi="黑体" w:eastAsia="黑体"/>
          <w:color w:val="auto"/>
          <w:sz w:val="28"/>
          <w:szCs w:val="28"/>
        </w:rPr>
        <w:t>一、总则</w:t>
      </w:r>
      <w:bookmarkEnd w:id="21"/>
    </w:p>
    <w:p w14:paraId="5213729F">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1. 适用范围</w:t>
      </w:r>
    </w:p>
    <w:p w14:paraId="19E413F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1.1本招标文件仅适用于本章第一节</w:t>
      </w:r>
      <w:r>
        <w:rPr>
          <w:rFonts w:hint="eastAsia" w:ascii="宋体" w:hAnsi="宋体" w:eastAsia="宋体"/>
          <w:b/>
          <w:bCs/>
          <w:color w:val="auto"/>
          <w:szCs w:val="21"/>
        </w:rPr>
        <w:t>【投标须知前附表】</w:t>
      </w:r>
      <w:r>
        <w:rPr>
          <w:rFonts w:hint="eastAsia" w:ascii="宋体" w:hAnsi="宋体" w:eastAsia="宋体"/>
          <w:color w:val="auto"/>
          <w:szCs w:val="21"/>
        </w:rPr>
        <w:t>中所叙述的采购项目。</w:t>
      </w:r>
    </w:p>
    <w:p w14:paraId="265BFA80">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2. 定义</w:t>
      </w:r>
    </w:p>
    <w:p w14:paraId="1562C5D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2.1采购项目联系人姓名和电话见</w:t>
      </w:r>
      <w:r>
        <w:rPr>
          <w:rFonts w:hint="eastAsia" w:ascii="宋体" w:hAnsi="宋体" w:eastAsia="宋体"/>
          <w:b/>
          <w:color w:val="auto"/>
          <w:szCs w:val="21"/>
        </w:rPr>
        <w:t>【投标须知前附表】</w:t>
      </w:r>
      <w:r>
        <w:rPr>
          <w:rFonts w:hint="eastAsia" w:ascii="宋体" w:hAnsi="宋体" w:eastAsia="宋体"/>
          <w:color w:val="auto"/>
          <w:szCs w:val="21"/>
        </w:rPr>
        <w:t>。</w:t>
      </w:r>
    </w:p>
    <w:p w14:paraId="2476CFB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2.2采购人名称、地址、电话、联系人见</w:t>
      </w:r>
      <w:r>
        <w:rPr>
          <w:rFonts w:hint="eastAsia" w:ascii="宋体" w:hAnsi="宋体" w:eastAsia="宋体"/>
          <w:b/>
          <w:color w:val="auto"/>
          <w:szCs w:val="21"/>
        </w:rPr>
        <w:t>【投标须知前附表】</w:t>
      </w:r>
      <w:r>
        <w:rPr>
          <w:rFonts w:hint="eastAsia" w:ascii="宋体" w:hAnsi="宋体" w:eastAsia="宋体"/>
          <w:color w:val="auto"/>
          <w:szCs w:val="21"/>
        </w:rPr>
        <w:t>。</w:t>
      </w:r>
    </w:p>
    <w:p w14:paraId="56DEB649">
      <w:pPr>
        <w:adjustRightInd w:val="0"/>
        <w:snapToGrid w:val="0"/>
        <w:spacing w:before="156" w:beforeLines="50" w:line="360" w:lineRule="auto"/>
        <w:ind w:firstLine="420" w:firstLineChars="200"/>
        <w:jc w:val="left"/>
        <w:rPr>
          <w:rFonts w:ascii="宋体" w:hAnsi="宋体" w:eastAsia="宋体"/>
          <w:b/>
          <w:color w:val="auto"/>
          <w:szCs w:val="21"/>
        </w:rPr>
      </w:pPr>
      <w:r>
        <w:rPr>
          <w:rFonts w:hint="eastAsia" w:ascii="宋体" w:hAnsi="宋体" w:eastAsia="宋体"/>
          <w:color w:val="auto"/>
          <w:szCs w:val="21"/>
        </w:rPr>
        <w:t>2.</w:t>
      </w:r>
      <w:r>
        <w:rPr>
          <w:rFonts w:hint="eastAsia" w:ascii="宋体" w:hAnsi="宋体"/>
          <w:color w:val="auto"/>
          <w:szCs w:val="21"/>
          <w:lang w:val="en-US" w:eastAsia="zh-CN"/>
        </w:rPr>
        <w:t>3</w:t>
      </w:r>
      <w:r>
        <w:rPr>
          <w:rFonts w:hint="eastAsia" w:ascii="宋体" w:hAnsi="宋体" w:eastAsia="宋体"/>
          <w:color w:val="auto"/>
          <w:szCs w:val="21"/>
        </w:rPr>
        <w:t>投标人系指响应招标、参加投标竞争的法人、其他组织或自然人。</w:t>
      </w:r>
    </w:p>
    <w:p w14:paraId="00B06CD1">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3. 投标人的资格要求</w:t>
      </w:r>
    </w:p>
    <w:p w14:paraId="0A725E7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3.1投标人应当符合</w:t>
      </w:r>
      <w:r>
        <w:rPr>
          <w:rFonts w:hint="eastAsia" w:ascii="宋体" w:hAnsi="宋体" w:eastAsia="宋体"/>
          <w:b/>
          <w:color w:val="auto"/>
          <w:szCs w:val="21"/>
        </w:rPr>
        <w:t>【投标须知前附表】</w:t>
      </w:r>
      <w:r>
        <w:rPr>
          <w:rFonts w:hint="eastAsia" w:ascii="宋体" w:hAnsi="宋体" w:eastAsia="宋体"/>
          <w:color w:val="auto"/>
          <w:szCs w:val="21"/>
        </w:rPr>
        <w:t>规定的投标人资格条件。</w:t>
      </w:r>
    </w:p>
    <w:p w14:paraId="7C2D755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3.2</w:t>
      </w:r>
      <w:r>
        <w:rPr>
          <w:rFonts w:hint="eastAsia" w:ascii="宋体" w:hAnsi="宋体" w:eastAsia="宋体"/>
          <w:b/>
          <w:color w:val="auto"/>
          <w:szCs w:val="21"/>
        </w:rPr>
        <w:t>【投标须知前附表】</w:t>
      </w:r>
      <w:r>
        <w:rPr>
          <w:rFonts w:hint="eastAsia" w:ascii="宋体" w:hAnsi="宋体" w:eastAsia="宋体"/>
          <w:color w:val="auto"/>
          <w:szCs w:val="21"/>
        </w:rPr>
        <w:t>规定接受联合体形式投标的，投标人除应符合本章第3.1</w:t>
      </w:r>
      <w:r>
        <w:rPr>
          <w:rFonts w:hint="eastAsia" w:ascii="宋体" w:hAnsi="宋体" w:eastAsia="宋体" w:cs="宋体"/>
          <w:color w:val="auto"/>
          <w:kern w:val="0"/>
          <w:szCs w:val="21"/>
          <w:lang w:val="zh-CN"/>
        </w:rPr>
        <w:t>款</w:t>
      </w:r>
      <w:r>
        <w:rPr>
          <w:rFonts w:hint="eastAsia" w:ascii="宋体" w:hAnsi="宋体" w:eastAsia="宋体"/>
          <w:color w:val="auto"/>
          <w:szCs w:val="21"/>
        </w:rPr>
        <w:t xml:space="preserve">规定的资格条件外，还应遵守以下规定： </w:t>
      </w:r>
    </w:p>
    <w:p w14:paraId="5D79E399">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（l）联合体中有同类资质的供应商按照联合体分工承担相同工作的，应当按照资质等级较低的供应商确定资质等级。</w:t>
      </w:r>
    </w:p>
    <w:p w14:paraId="0291F398">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（2）联合体各方应按招标文件提供的格式签订联合体协议书，明确联合体牵头人和各方的权利义务、合同工作量比例；</w:t>
      </w:r>
    </w:p>
    <w:p w14:paraId="19F6F327">
      <w:pPr>
        <w:adjustRightInd w:val="0"/>
        <w:snapToGrid w:val="0"/>
        <w:spacing w:before="156" w:beforeLines="50" w:line="360" w:lineRule="auto"/>
        <w:ind w:firstLine="420" w:firstLineChars="200"/>
        <w:jc w:val="left"/>
        <w:rPr>
          <w:rFonts w:ascii="宋体" w:hAnsi="宋体" w:eastAsia="宋体" w:cs="宋体"/>
          <w:color w:val="auto"/>
          <w:kern w:val="0"/>
          <w:szCs w:val="21"/>
          <w:lang w:val="zh-CN"/>
        </w:rPr>
      </w:pPr>
      <w:r>
        <w:rPr>
          <w:rFonts w:hint="eastAsia" w:ascii="宋体" w:hAnsi="宋体" w:eastAsia="宋体"/>
          <w:color w:val="auto"/>
          <w:szCs w:val="21"/>
        </w:rPr>
        <w:t>（3）联合体各方签订联合体协议书后，</w:t>
      </w:r>
      <w:r>
        <w:rPr>
          <w:rFonts w:hint="eastAsia" w:ascii="宋体" w:hAnsi="宋体" w:eastAsia="宋体" w:cs="宋体"/>
          <w:color w:val="auto"/>
          <w:kern w:val="0"/>
          <w:szCs w:val="21"/>
          <w:lang w:val="zh-CN"/>
        </w:rPr>
        <w:t>不得再单独参加或者与其他投标人组成新的联合体参加同一合同项下的采购活动。</w:t>
      </w:r>
    </w:p>
    <w:p w14:paraId="450DA3AD">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 xml:space="preserve">4. 投标费用 </w:t>
      </w:r>
    </w:p>
    <w:p w14:paraId="4DF8AD26">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4.1投标人应自行承担所有参与投标的相关费用，不论投标的结果如何，采购人无义务和责任承担这些费用。</w:t>
      </w:r>
    </w:p>
    <w:p w14:paraId="0FFFBFBB">
      <w:pPr>
        <w:adjustRightInd w:val="0"/>
        <w:snapToGrid w:val="0"/>
        <w:spacing w:before="156" w:beforeLines="50" w:line="360" w:lineRule="auto"/>
        <w:jc w:val="left"/>
        <w:rPr>
          <w:rFonts w:ascii="宋体" w:hAnsi="宋体" w:eastAsia="宋体"/>
          <w:b/>
          <w:color w:val="auto"/>
          <w:sz w:val="24"/>
        </w:rPr>
      </w:pPr>
      <w:r>
        <w:rPr>
          <w:rFonts w:hint="eastAsia" w:ascii="宋体" w:hAnsi="宋体" w:eastAsia="宋体"/>
          <w:b/>
          <w:color w:val="auto"/>
          <w:sz w:val="24"/>
        </w:rPr>
        <w:t>5．组织现场考察或者召开答疑会</w:t>
      </w:r>
    </w:p>
    <w:p w14:paraId="37691D8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rPr>
        <w:t>5.1采购人可以在</w:t>
      </w:r>
      <w:r>
        <w:rPr>
          <w:rFonts w:hint="eastAsia" w:ascii="宋体" w:hAnsi="宋体" w:eastAsia="宋体"/>
          <w:b/>
          <w:color w:val="auto"/>
          <w:szCs w:val="21"/>
        </w:rPr>
        <w:t>【投标须知前附表】</w:t>
      </w:r>
      <w:r>
        <w:rPr>
          <w:rFonts w:hint="eastAsia" w:ascii="宋体" w:hAnsi="宋体" w:eastAsia="宋体"/>
          <w:color w:val="auto"/>
          <w:szCs w:val="21"/>
        </w:rPr>
        <w:t>规定的招标文件提供期限截止后，组织已获取招标文件的潜在投标人现场考察或者召开开标前答疑会。</w:t>
      </w:r>
    </w:p>
    <w:p w14:paraId="2DFA763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5.2获取招标文件的潜在投标人应按</w:t>
      </w:r>
      <w:r>
        <w:rPr>
          <w:rFonts w:hint="eastAsia" w:ascii="宋体" w:hAnsi="宋体" w:eastAsia="宋体"/>
          <w:b/>
          <w:color w:val="auto"/>
          <w:szCs w:val="21"/>
        </w:rPr>
        <w:t>【投标须知前附表】</w:t>
      </w:r>
      <w:r>
        <w:rPr>
          <w:rFonts w:hint="eastAsia" w:ascii="宋体" w:hAnsi="宋体" w:eastAsia="宋体"/>
          <w:color w:val="auto"/>
          <w:szCs w:val="21"/>
        </w:rPr>
        <w:t>规定参加现场考察或者答疑会；如不参加，其风险由其自行承担。</w:t>
      </w:r>
    </w:p>
    <w:p w14:paraId="2805E3D1">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5.3潜在投标人现场考察或者参加答疑会的费用由自己承担，现场考察期间所发生的人身伤害及财产损失由自己负责。</w:t>
      </w:r>
    </w:p>
    <w:p w14:paraId="65A4666A">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5.4采购人不对投标人据此而做出的推论、理解和结论负责。投标人一旦中标，不得以任何借口，提出额外补偿，或延长合同期限的要求。</w:t>
      </w:r>
    </w:p>
    <w:p w14:paraId="33C93491">
      <w:pPr>
        <w:pStyle w:val="6"/>
        <w:adjustRightInd w:val="0"/>
        <w:snapToGrid w:val="0"/>
        <w:spacing w:before="156" w:beforeLines="50" w:after="0" w:line="360" w:lineRule="auto"/>
        <w:jc w:val="center"/>
        <w:rPr>
          <w:rFonts w:ascii="黑体" w:hAnsi="黑体" w:eastAsia="黑体"/>
          <w:color w:val="auto"/>
          <w:sz w:val="28"/>
          <w:szCs w:val="28"/>
        </w:rPr>
      </w:pPr>
      <w:bookmarkStart w:id="22" w:name="_Toc9226"/>
      <w:r>
        <w:rPr>
          <w:rFonts w:hint="eastAsia" w:ascii="黑体" w:hAnsi="黑体" w:eastAsia="黑体"/>
          <w:color w:val="auto"/>
          <w:sz w:val="28"/>
          <w:szCs w:val="28"/>
        </w:rPr>
        <w:t>二、招标文件</w:t>
      </w:r>
      <w:bookmarkEnd w:id="22"/>
    </w:p>
    <w:p w14:paraId="12465EC2">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6. 招标文件的构成</w:t>
      </w:r>
    </w:p>
    <w:p w14:paraId="6F2E3E8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6.1 招标文件共七章，各章内容如下：</w:t>
      </w:r>
    </w:p>
    <w:p w14:paraId="61BEDF4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第一章 投标邀请</w:t>
      </w:r>
    </w:p>
    <w:p w14:paraId="10A7E23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第二章 投标须知</w:t>
      </w:r>
    </w:p>
    <w:p w14:paraId="576C53E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第三章 资格审查</w:t>
      </w:r>
    </w:p>
    <w:p w14:paraId="64101703">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第四章 评标方法及标准</w:t>
      </w:r>
    </w:p>
    <w:p w14:paraId="67F0E2E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第五章 采购需求</w:t>
      </w:r>
    </w:p>
    <w:p w14:paraId="7CF80A27">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第六章 合同</w:t>
      </w:r>
    </w:p>
    <w:p w14:paraId="676F486C">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第七章 投标文件的组成</w:t>
      </w:r>
    </w:p>
    <w:p w14:paraId="607C3307">
      <w:pPr>
        <w:adjustRightInd w:val="0"/>
        <w:snapToGrid w:val="0"/>
        <w:spacing w:before="156" w:beforeLines="50" w:line="360" w:lineRule="auto"/>
        <w:ind w:firstLine="420" w:firstLineChars="200"/>
        <w:jc w:val="left"/>
        <w:rPr>
          <w:rFonts w:ascii="宋体" w:hAnsi="宋体" w:eastAsia="宋体" w:cs="宋体"/>
          <w:b/>
          <w:color w:val="auto"/>
          <w:szCs w:val="21"/>
        </w:rPr>
      </w:pPr>
      <w:r>
        <w:rPr>
          <w:rFonts w:hint="eastAsia" w:ascii="宋体" w:hAnsi="宋体" w:eastAsia="宋体"/>
          <w:color w:val="auto"/>
          <w:szCs w:val="21"/>
        </w:rPr>
        <w:t>6.2采购人在提交投标文件截止时间前</w:t>
      </w:r>
      <w:r>
        <w:rPr>
          <w:rFonts w:hint="eastAsia" w:ascii="宋体" w:hAnsi="宋体" w:eastAsia="宋体" w:cs="宋体"/>
          <w:color w:val="auto"/>
          <w:szCs w:val="21"/>
        </w:rPr>
        <w:t>对招标文件所作的澄清或者修改，构成招标文件的组成部分。</w:t>
      </w:r>
    </w:p>
    <w:p w14:paraId="3146AEDE">
      <w:pPr>
        <w:adjustRightInd w:val="0"/>
        <w:snapToGrid w:val="0"/>
        <w:spacing w:before="156" w:beforeLines="50" w:line="360" w:lineRule="auto"/>
        <w:jc w:val="left"/>
        <w:rPr>
          <w:rFonts w:ascii="宋体" w:hAnsi="宋体" w:eastAsia="宋体"/>
          <w:b/>
          <w:color w:val="auto"/>
          <w:sz w:val="24"/>
        </w:rPr>
      </w:pPr>
      <w:r>
        <w:rPr>
          <w:rFonts w:hint="eastAsia" w:ascii="宋体" w:hAnsi="宋体" w:eastAsia="宋体"/>
          <w:b/>
          <w:color w:val="auto"/>
          <w:sz w:val="24"/>
        </w:rPr>
        <w:t>7．偏离与实质性响应</w:t>
      </w:r>
    </w:p>
    <w:p w14:paraId="6638DD75">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eastAsia="宋体"/>
          <w:color w:val="auto"/>
        </w:rPr>
        <w:t>7.1投标人应当按照招标文件的要求编制投标文件。投标文件应当对招标文件提出的要求和条件作出明确响应。</w:t>
      </w:r>
    </w:p>
    <w:p w14:paraId="128A72EA">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eastAsia="宋体"/>
          <w:color w:val="auto"/>
        </w:rPr>
        <w:t>7.2偏离是指投标文件不响应或者不满足招标文件提出的要求和条件，分为实质性偏离和非实质性偏离。</w:t>
      </w:r>
    </w:p>
    <w:p w14:paraId="7BFA7A4F">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eastAsia="宋体"/>
          <w:color w:val="auto"/>
        </w:rPr>
        <w:t>7.3除法律、法规和招标文件规定的其他投标无效情形外，招标文件中用“★”符号标明的条款为实质性要求和条件，对其中任何一条的偏离，为实质性偏离，</w:t>
      </w:r>
      <w:r>
        <w:rPr>
          <w:rFonts w:hint="eastAsia" w:ascii="宋体" w:hAnsi="宋体" w:eastAsia="宋体"/>
          <w:b/>
          <w:color w:val="auto"/>
        </w:rPr>
        <w:t>其投标无效</w:t>
      </w:r>
      <w:r>
        <w:rPr>
          <w:rFonts w:hint="eastAsia" w:ascii="宋体" w:hAnsi="宋体" w:eastAsia="宋体"/>
          <w:color w:val="auto"/>
        </w:rPr>
        <w:t>。</w:t>
      </w:r>
    </w:p>
    <w:p w14:paraId="7CA18B9E">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7.4投标</w:t>
      </w:r>
      <w:r>
        <w:rPr>
          <w:rFonts w:hint="eastAsia" w:ascii="宋体" w:hAnsi="宋体" w:eastAsia="宋体"/>
          <w:color w:val="auto"/>
          <w:szCs w:val="21"/>
        </w:rPr>
        <w:t>文件偏离招标文件的非实质性要求和条件，为非实质性偏离。非实质性偏离的范围和幅度应当符合</w:t>
      </w:r>
      <w:r>
        <w:rPr>
          <w:rFonts w:hint="eastAsia" w:ascii="宋体" w:hAnsi="宋体" w:eastAsia="宋体"/>
          <w:b/>
          <w:color w:val="auto"/>
          <w:szCs w:val="21"/>
        </w:rPr>
        <w:t>【投标须知前附表】</w:t>
      </w:r>
      <w:r>
        <w:rPr>
          <w:rFonts w:hint="eastAsia" w:ascii="宋体" w:hAnsi="宋体" w:eastAsia="宋体"/>
          <w:color w:val="auto"/>
          <w:szCs w:val="21"/>
        </w:rPr>
        <w:t>的规定，</w:t>
      </w:r>
      <w:r>
        <w:rPr>
          <w:rFonts w:hint="eastAsia" w:ascii="宋体" w:hAnsi="宋体" w:eastAsia="宋体"/>
          <w:b/>
          <w:color w:val="auto"/>
          <w:szCs w:val="21"/>
        </w:rPr>
        <w:t>否</w:t>
      </w:r>
      <w:r>
        <w:rPr>
          <w:rFonts w:hint="eastAsia" w:ascii="宋体" w:hAnsi="宋体" w:eastAsia="宋体"/>
          <w:b/>
          <w:color w:val="auto"/>
        </w:rPr>
        <w:t>则投标无效</w:t>
      </w:r>
      <w:r>
        <w:rPr>
          <w:rFonts w:hint="eastAsia" w:ascii="宋体" w:hAnsi="宋体" w:eastAsia="宋体"/>
          <w:color w:val="auto"/>
        </w:rPr>
        <w:t>。</w:t>
      </w:r>
    </w:p>
    <w:p w14:paraId="1062BABC">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color w:val="auto"/>
          <w:sz w:val="24"/>
        </w:rPr>
        <w:t>8. 询问</w:t>
      </w:r>
    </w:p>
    <w:p w14:paraId="700F50A9">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8.1潜在投标人应仔细阅读和检查招标文件的全部内容。如有疑问，可以向采购人提出询问。</w:t>
      </w:r>
    </w:p>
    <w:p w14:paraId="57184AFB">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9. 招标文件的澄清或者修改</w:t>
      </w:r>
    </w:p>
    <w:p w14:paraId="086394B9">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9.1采购人对已发出的招标文件进行必要澄清或者修改的，将在</w:t>
      </w:r>
      <w:r>
        <w:rPr>
          <w:rFonts w:hint="eastAsia" w:ascii="宋体" w:hAnsi="宋体" w:eastAsia="宋体"/>
          <w:b/>
          <w:color w:val="auto"/>
          <w:szCs w:val="21"/>
        </w:rPr>
        <w:t>【投标须知前附表】</w:t>
      </w:r>
      <w:r>
        <w:rPr>
          <w:rFonts w:hint="eastAsia" w:ascii="宋体" w:hAnsi="宋体" w:eastAsia="宋体"/>
          <w:color w:val="auto"/>
          <w:szCs w:val="21"/>
        </w:rPr>
        <w:t>规定的</w:t>
      </w:r>
      <w:r>
        <w:rPr>
          <w:rFonts w:hint="eastAsia" w:ascii="宋体" w:hAnsi="宋体" w:eastAsia="宋体"/>
          <w:color w:val="auto"/>
        </w:rPr>
        <w:t>招标公告指定媒体上发布澄清或者修改公告。</w:t>
      </w:r>
    </w:p>
    <w:p w14:paraId="75853ACB">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s="宋体"/>
          <w:color w:val="auto"/>
          <w:kern w:val="0"/>
          <w:szCs w:val="21"/>
        </w:rPr>
        <w:t>9.2澄清或者修改</w:t>
      </w:r>
      <w:r>
        <w:rPr>
          <w:rFonts w:hint="eastAsia" w:ascii="宋体" w:hAnsi="宋体" w:eastAsia="宋体"/>
          <w:color w:val="auto"/>
        </w:rPr>
        <w:t>的</w:t>
      </w:r>
      <w:r>
        <w:rPr>
          <w:rFonts w:hint="eastAsia" w:ascii="宋体" w:hAnsi="宋体" w:eastAsia="宋体" w:cs="宋体"/>
          <w:color w:val="auto"/>
          <w:kern w:val="0"/>
          <w:szCs w:val="21"/>
        </w:rPr>
        <w:t>内容可能影响投标文件编制的，采购人</w:t>
      </w:r>
      <w:r>
        <w:rPr>
          <w:rFonts w:hint="eastAsia" w:ascii="宋体" w:hAnsi="宋体" w:eastAsia="宋体"/>
          <w:color w:val="auto"/>
        </w:rPr>
        <w:t>将</w:t>
      </w:r>
      <w:r>
        <w:rPr>
          <w:rFonts w:hint="eastAsia" w:ascii="宋体" w:hAnsi="宋体" w:eastAsia="宋体" w:cs="宋体"/>
          <w:color w:val="auto"/>
          <w:kern w:val="0"/>
          <w:szCs w:val="21"/>
        </w:rPr>
        <w:t>在提交投标文件截止时间</w:t>
      </w:r>
      <w:r>
        <w:rPr>
          <w:rFonts w:hint="eastAsia" w:ascii="宋体" w:hAnsi="宋体" w:cs="宋体"/>
          <w:color w:val="auto"/>
          <w:kern w:val="0"/>
          <w:szCs w:val="21"/>
          <w:lang w:val="en-US" w:eastAsia="zh-CN"/>
        </w:rPr>
        <w:t>2个</w:t>
      </w:r>
      <w:r>
        <w:rPr>
          <w:rFonts w:hint="eastAsia" w:ascii="宋体" w:hAnsi="宋体" w:cs="宋体"/>
          <w:color w:val="auto"/>
          <w:kern w:val="0"/>
          <w:szCs w:val="21"/>
          <w:lang w:eastAsia="zh-CN"/>
        </w:rPr>
        <w:t>日历天</w:t>
      </w:r>
      <w:r>
        <w:rPr>
          <w:rFonts w:hint="eastAsia" w:ascii="宋体" w:hAnsi="宋体" w:eastAsia="宋体" w:cs="宋体"/>
          <w:color w:val="auto"/>
          <w:kern w:val="0"/>
          <w:szCs w:val="21"/>
        </w:rPr>
        <w:t>前，</w:t>
      </w:r>
      <w:r>
        <w:rPr>
          <w:rFonts w:hint="eastAsia" w:ascii="宋体" w:hAnsi="宋体" w:cs="宋体"/>
          <w:color w:val="auto"/>
          <w:kern w:val="0"/>
          <w:szCs w:val="21"/>
          <w:lang w:val="en-US" w:eastAsia="zh-CN"/>
        </w:rPr>
        <w:t>在</w:t>
      </w:r>
      <w:r>
        <w:rPr>
          <w:rFonts w:hint="eastAsia" w:ascii="宋体" w:hAnsi="宋体" w:cs="宋体"/>
          <w:color w:val="auto"/>
          <w:sz w:val="21"/>
          <w:szCs w:val="21"/>
          <w:u w:val="none"/>
          <w:lang w:eastAsia="zh-CN"/>
        </w:rPr>
        <w:t>娄底市万宝新区开发投资集团有限公司</w:t>
      </w:r>
      <w:r>
        <w:rPr>
          <w:rFonts w:hint="eastAsia" w:ascii="宋体" w:hAnsi="宋体" w:cs="宋体"/>
          <w:color w:val="auto"/>
          <w:sz w:val="21"/>
          <w:szCs w:val="21"/>
          <w:u w:val="none"/>
          <w:lang w:val="en-US" w:eastAsia="zh-CN"/>
        </w:rPr>
        <w:t>网站</w:t>
      </w:r>
      <w:r>
        <w:rPr>
          <w:rFonts w:hint="eastAsia" w:ascii="宋体" w:hAnsi="宋体" w:cs="宋体"/>
          <w:color w:val="auto"/>
          <w:sz w:val="21"/>
          <w:szCs w:val="21"/>
          <w:u w:val="none"/>
          <w:lang w:eastAsia="zh-CN"/>
        </w:rPr>
        <w:t>（http://www.wbtzjt.com/）</w:t>
      </w:r>
      <w:r>
        <w:rPr>
          <w:rFonts w:hint="eastAsia" w:ascii="宋体" w:hAnsi="宋体" w:cs="宋体"/>
          <w:color w:val="auto"/>
          <w:sz w:val="21"/>
          <w:szCs w:val="21"/>
          <w:u w:val="none"/>
          <w:lang w:val="en-US" w:eastAsia="zh-CN"/>
        </w:rPr>
        <w:t>及微信公众号上</w:t>
      </w:r>
      <w:r>
        <w:rPr>
          <w:rFonts w:hint="eastAsia" w:ascii="宋体" w:hAnsi="宋体" w:cs="宋体"/>
          <w:color w:val="auto"/>
          <w:sz w:val="21"/>
          <w:szCs w:val="21"/>
          <w:u w:val="none"/>
          <w:lang w:eastAsia="zh-CN"/>
        </w:rPr>
        <w:t>进行发布</w:t>
      </w:r>
      <w:r>
        <w:rPr>
          <w:rFonts w:hint="eastAsia" w:ascii="宋体" w:hAnsi="宋体" w:eastAsia="宋体"/>
          <w:color w:val="auto"/>
        </w:rPr>
        <w:t>；提交投标文件的截止时间</w:t>
      </w:r>
      <w:r>
        <w:rPr>
          <w:rFonts w:hint="eastAsia" w:ascii="宋体" w:hAnsi="宋体"/>
          <w:color w:val="auto"/>
          <w:lang w:eastAsia="zh-CN"/>
        </w:rPr>
        <w:t>从</w:t>
      </w:r>
      <w:r>
        <w:rPr>
          <w:rFonts w:hint="eastAsia" w:ascii="宋体" w:hAnsi="宋体" w:eastAsia="宋体" w:cs="宋体"/>
          <w:color w:val="auto"/>
          <w:kern w:val="0"/>
          <w:szCs w:val="21"/>
        </w:rPr>
        <w:t>澄清或者修改内容</w:t>
      </w:r>
      <w:r>
        <w:rPr>
          <w:rFonts w:hint="eastAsia" w:ascii="宋体" w:hAnsi="宋体" w:cs="宋体"/>
          <w:color w:val="auto"/>
          <w:kern w:val="0"/>
          <w:szCs w:val="21"/>
          <w:lang w:eastAsia="zh-CN"/>
        </w:rPr>
        <w:t>发布起算不少于</w:t>
      </w:r>
      <w:r>
        <w:rPr>
          <w:rFonts w:hint="eastAsia" w:ascii="宋体" w:hAnsi="宋体" w:cs="宋体"/>
          <w:color w:val="auto"/>
          <w:kern w:val="0"/>
          <w:szCs w:val="21"/>
          <w:lang w:val="en-US" w:eastAsia="zh-CN"/>
        </w:rPr>
        <w:t>2个日历天</w:t>
      </w:r>
      <w:r>
        <w:rPr>
          <w:rFonts w:hint="eastAsia" w:ascii="宋体" w:hAnsi="宋体" w:eastAsia="宋体"/>
          <w:color w:val="auto"/>
        </w:rPr>
        <w:t>。</w:t>
      </w:r>
    </w:p>
    <w:p w14:paraId="1FFCE58E">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9.</w:t>
      </w:r>
      <w:r>
        <w:rPr>
          <w:rFonts w:hint="eastAsia" w:ascii="宋体" w:hAnsi="宋体"/>
          <w:color w:val="auto"/>
          <w:lang w:val="en-US" w:eastAsia="zh-CN"/>
        </w:rPr>
        <w:t>3</w:t>
      </w:r>
      <w:r>
        <w:rPr>
          <w:rFonts w:hint="eastAsia" w:ascii="宋体" w:hAnsi="宋体" w:eastAsia="宋体"/>
          <w:color w:val="auto"/>
        </w:rPr>
        <w:t xml:space="preserve"> 潜在投标人及时关注</w:t>
      </w:r>
      <w:r>
        <w:rPr>
          <w:rFonts w:hint="eastAsia" w:ascii="宋体" w:hAnsi="宋体" w:eastAsia="宋体"/>
          <w:color w:val="auto"/>
          <w:szCs w:val="21"/>
        </w:rPr>
        <w:t>招标公告指定媒体</w:t>
      </w:r>
      <w:r>
        <w:rPr>
          <w:rFonts w:hint="eastAsia" w:ascii="宋体" w:hAnsi="宋体" w:eastAsia="宋体"/>
          <w:color w:val="auto"/>
        </w:rPr>
        <w:t>发布的澄清或者修改公告，采购人不再书面通知。</w:t>
      </w:r>
    </w:p>
    <w:p w14:paraId="0E282912">
      <w:pPr>
        <w:pStyle w:val="6"/>
        <w:adjustRightInd w:val="0"/>
        <w:snapToGrid w:val="0"/>
        <w:spacing w:before="156" w:beforeLines="50" w:after="0" w:line="360" w:lineRule="auto"/>
        <w:jc w:val="center"/>
        <w:rPr>
          <w:rFonts w:ascii="黑体" w:hAnsi="黑体" w:eastAsia="黑体"/>
          <w:color w:val="auto"/>
          <w:sz w:val="28"/>
          <w:szCs w:val="28"/>
        </w:rPr>
      </w:pPr>
      <w:bookmarkStart w:id="23" w:name="_Toc1234"/>
      <w:r>
        <w:rPr>
          <w:rFonts w:hint="eastAsia" w:ascii="黑体" w:hAnsi="黑体" w:eastAsia="黑体"/>
          <w:color w:val="auto"/>
          <w:sz w:val="28"/>
          <w:szCs w:val="28"/>
        </w:rPr>
        <w:t>三、投标文件</w:t>
      </w:r>
      <w:bookmarkEnd w:id="23"/>
    </w:p>
    <w:p w14:paraId="25346921">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10. 投标语言</w:t>
      </w:r>
    </w:p>
    <w:p w14:paraId="71DDE32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10.1除专用术语外，投标人提交的投标文件及投标人与采购人就有关投标的所有来往函电均使用中文。投标人可以提交其它语言的资料，但应附有中文注释，有差异时以中文为准。</w:t>
      </w:r>
    </w:p>
    <w:p w14:paraId="1A4D81F9">
      <w:pPr>
        <w:adjustRightInd w:val="0"/>
        <w:snapToGrid w:val="0"/>
        <w:spacing w:before="156" w:beforeLines="50" w:line="360" w:lineRule="auto"/>
        <w:jc w:val="left"/>
        <w:rPr>
          <w:rFonts w:ascii="宋体" w:hAnsi="宋体" w:eastAsia="宋体"/>
          <w:b/>
          <w:color w:val="auto"/>
          <w:sz w:val="24"/>
        </w:rPr>
      </w:pPr>
      <w:r>
        <w:rPr>
          <w:rFonts w:hint="eastAsia" w:ascii="宋体" w:hAnsi="宋体" w:eastAsia="宋体"/>
          <w:b/>
          <w:bCs/>
          <w:color w:val="auto"/>
          <w:sz w:val="24"/>
        </w:rPr>
        <w:t xml:space="preserve">11. </w:t>
      </w:r>
      <w:r>
        <w:rPr>
          <w:rFonts w:hint="eastAsia" w:ascii="宋体" w:hAnsi="宋体" w:eastAsia="宋体"/>
          <w:b/>
          <w:color w:val="auto"/>
          <w:sz w:val="24"/>
        </w:rPr>
        <w:t>计量单位</w:t>
      </w:r>
    </w:p>
    <w:p w14:paraId="63BAAD50">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11.1所有计量均采用中华人民共和国法定计量单位。</w:t>
      </w:r>
    </w:p>
    <w:p w14:paraId="5EDE48C2">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color w:val="auto"/>
          <w:sz w:val="24"/>
        </w:rPr>
        <w:t xml:space="preserve">12. </w:t>
      </w:r>
      <w:r>
        <w:rPr>
          <w:rFonts w:hint="eastAsia" w:ascii="宋体" w:hAnsi="宋体" w:eastAsia="宋体"/>
          <w:b/>
          <w:bCs/>
          <w:color w:val="auto"/>
          <w:sz w:val="24"/>
        </w:rPr>
        <w:t>投标文件的组成</w:t>
      </w:r>
    </w:p>
    <w:p w14:paraId="0B83E22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12.1投标文件由如下内容组成：</w:t>
      </w:r>
    </w:p>
    <w:p w14:paraId="4B32A014">
      <w:pPr>
        <w:adjustRightInd w:val="0"/>
        <w:snapToGrid w:val="0"/>
        <w:spacing w:before="156" w:beforeLines="50" w:line="360" w:lineRule="auto"/>
        <w:ind w:firstLine="420" w:firstLineChars="200"/>
        <w:rPr>
          <w:rFonts w:ascii="宋体" w:hAnsi="宋体" w:eastAsia="宋体"/>
          <w:b/>
          <w:color w:val="auto"/>
          <w:szCs w:val="21"/>
        </w:rPr>
      </w:pPr>
      <w:r>
        <w:rPr>
          <w:rFonts w:hint="eastAsia" w:ascii="宋体" w:hAnsi="宋体" w:eastAsia="宋体"/>
          <w:b/>
          <w:color w:val="auto"/>
          <w:szCs w:val="21"/>
        </w:rPr>
        <w:t>第一部分 资格证明文件</w:t>
      </w:r>
    </w:p>
    <w:p w14:paraId="5951757D">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eastAsia="宋体"/>
          <w:color w:val="auto"/>
          <w:szCs w:val="21"/>
        </w:rPr>
        <w:t>一、开标一览表</w:t>
      </w:r>
    </w:p>
    <w:p w14:paraId="722EC482">
      <w:pPr>
        <w:adjustRightInd w:val="0"/>
        <w:snapToGrid w:val="0"/>
        <w:spacing w:before="156" w:beforeLines="50" w:line="360" w:lineRule="auto"/>
        <w:ind w:firstLine="630" w:firstLineChars="300"/>
        <w:rPr>
          <w:rFonts w:hint="eastAsia" w:ascii="宋体" w:hAnsi="宋体" w:eastAsiaTheme="minorEastAsia"/>
          <w:color w:val="auto"/>
          <w:szCs w:val="21"/>
          <w:lang w:eastAsia="zh-CN"/>
        </w:rPr>
      </w:pPr>
      <w:r>
        <w:rPr>
          <w:rFonts w:hint="eastAsia" w:ascii="宋体" w:hAnsi="宋体"/>
          <w:color w:val="auto"/>
          <w:szCs w:val="21"/>
          <w:lang w:eastAsia="zh-CN"/>
        </w:rPr>
        <w:t>二</w:t>
      </w:r>
      <w:r>
        <w:rPr>
          <w:rFonts w:hint="eastAsia" w:ascii="宋体" w:hAnsi="宋体" w:eastAsia="宋体"/>
          <w:color w:val="auto"/>
          <w:szCs w:val="21"/>
        </w:rPr>
        <w:t>、</w:t>
      </w:r>
      <w:r>
        <w:rPr>
          <w:rFonts w:hint="eastAsia" w:asciiTheme="minorEastAsia" w:hAnsiTheme="minorEastAsia" w:eastAsiaTheme="minorEastAsia"/>
          <w:color w:val="auto"/>
          <w:szCs w:val="21"/>
        </w:rPr>
        <w:t>法定代表人（单位负责人）身份证明或授权委托书</w:t>
      </w:r>
      <w:r>
        <w:rPr>
          <w:rFonts w:hint="eastAsia" w:asciiTheme="minorEastAsia" w:hAnsiTheme="minorEastAsia" w:eastAsiaTheme="minorEastAsia"/>
          <w:color w:val="auto"/>
          <w:szCs w:val="21"/>
          <w:lang w:val="en-US" w:eastAsia="zh-CN"/>
        </w:rPr>
        <w:t>,</w:t>
      </w:r>
      <w:r>
        <w:rPr>
          <w:rFonts w:hint="eastAsia" w:ascii="宋体" w:hAnsi="宋体" w:eastAsia="宋体" w:cs="宋体"/>
          <w:color w:val="auto"/>
          <w:sz w:val="21"/>
          <w:szCs w:val="21"/>
          <w:lang w:val="en-US" w:eastAsia="zh-CN"/>
        </w:rPr>
        <w:t>授权委托人需携带近6个月的社保缴纳证明</w:t>
      </w:r>
      <w:r>
        <w:rPr>
          <w:rFonts w:hint="eastAsia" w:ascii="宋体" w:hAnsi="宋体"/>
          <w:color w:val="auto"/>
          <w:shd w:val="clear" w:color="auto" w:fill="auto"/>
          <w:lang w:val="en-US" w:eastAsia="zh-CN"/>
        </w:rPr>
        <w:t>。</w:t>
      </w:r>
    </w:p>
    <w:p w14:paraId="758C14D5">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三</w:t>
      </w:r>
      <w:r>
        <w:rPr>
          <w:rFonts w:hint="eastAsia" w:ascii="宋体" w:hAnsi="宋体" w:eastAsia="宋体"/>
          <w:color w:val="auto"/>
          <w:szCs w:val="21"/>
        </w:rPr>
        <w:t>、投标人提供的资格证明文件</w:t>
      </w:r>
    </w:p>
    <w:p w14:paraId="31CFF3B0">
      <w:pPr>
        <w:adjustRightInd w:val="0"/>
        <w:snapToGrid w:val="0"/>
        <w:spacing w:before="156" w:beforeLines="50" w:line="360" w:lineRule="auto"/>
        <w:ind w:firstLine="420" w:firstLineChars="200"/>
        <w:rPr>
          <w:rFonts w:ascii="宋体" w:hAnsi="宋体" w:eastAsia="宋体"/>
          <w:b/>
          <w:color w:val="auto"/>
          <w:szCs w:val="21"/>
        </w:rPr>
      </w:pPr>
      <w:r>
        <w:rPr>
          <w:rFonts w:hint="eastAsia" w:ascii="宋体" w:hAnsi="宋体" w:eastAsia="宋体"/>
          <w:b/>
          <w:color w:val="auto"/>
          <w:szCs w:val="21"/>
        </w:rPr>
        <w:t>第二部分 商务技术文件</w:t>
      </w:r>
    </w:p>
    <w:p w14:paraId="599842D4">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四</w:t>
      </w:r>
      <w:r>
        <w:rPr>
          <w:rFonts w:hint="eastAsia" w:ascii="宋体" w:hAnsi="宋体" w:eastAsia="宋体"/>
          <w:color w:val="auto"/>
          <w:szCs w:val="21"/>
        </w:rPr>
        <w:t>、投标函</w:t>
      </w:r>
    </w:p>
    <w:p w14:paraId="37D9DC97">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五</w:t>
      </w:r>
      <w:r>
        <w:rPr>
          <w:rFonts w:hint="eastAsia" w:ascii="宋体" w:hAnsi="宋体" w:eastAsia="宋体"/>
          <w:color w:val="auto"/>
          <w:szCs w:val="21"/>
        </w:rPr>
        <w:t>、分项报价</w:t>
      </w:r>
    </w:p>
    <w:p w14:paraId="76D89F38">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六</w:t>
      </w:r>
      <w:r>
        <w:rPr>
          <w:rFonts w:hint="eastAsia" w:ascii="宋体" w:hAnsi="宋体" w:eastAsia="宋体"/>
          <w:color w:val="auto"/>
          <w:szCs w:val="21"/>
        </w:rPr>
        <w:t>、采购需求响应</w:t>
      </w:r>
    </w:p>
    <w:p w14:paraId="6A4E9849">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七</w:t>
      </w:r>
      <w:r>
        <w:rPr>
          <w:rFonts w:hint="eastAsia" w:ascii="宋体" w:hAnsi="宋体" w:eastAsia="宋体"/>
          <w:color w:val="auto"/>
          <w:szCs w:val="21"/>
        </w:rPr>
        <w:t>、</w:t>
      </w:r>
      <w:r>
        <w:rPr>
          <w:rFonts w:hint="eastAsia" w:ascii="宋体" w:hAnsi="宋体"/>
          <w:color w:val="auto"/>
          <w:szCs w:val="21"/>
          <w:lang w:eastAsia="zh-CN"/>
        </w:rPr>
        <w:t>采购需求</w:t>
      </w:r>
      <w:r>
        <w:rPr>
          <w:rFonts w:hint="eastAsia" w:ascii="宋体" w:hAnsi="宋体" w:eastAsia="宋体"/>
          <w:color w:val="auto"/>
          <w:szCs w:val="21"/>
        </w:rPr>
        <w:t>偏离表</w:t>
      </w:r>
    </w:p>
    <w:p w14:paraId="275595BA">
      <w:pPr>
        <w:adjustRightInd w:val="0"/>
        <w:snapToGrid w:val="0"/>
        <w:spacing w:before="156" w:beforeLines="50" w:line="360" w:lineRule="auto"/>
        <w:ind w:firstLine="630" w:firstLineChars="300"/>
        <w:rPr>
          <w:rFonts w:hint="eastAsia" w:ascii="宋体" w:hAnsi="宋体" w:eastAsia="宋体"/>
          <w:color w:val="auto"/>
          <w:szCs w:val="21"/>
          <w:lang w:eastAsia="zh-CN"/>
        </w:rPr>
      </w:pPr>
      <w:r>
        <w:rPr>
          <w:rFonts w:hint="eastAsia" w:ascii="宋体" w:hAnsi="宋体"/>
          <w:color w:val="auto"/>
          <w:szCs w:val="21"/>
          <w:lang w:eastAsia="zh-CN"/>
        </w:rPr>
        <w:t>八</w:t>
      </w:r>
      <w:r>
        <w:rPr>
          <w:rFonts w:hint="eastAsia" w:ascii="宋体" w:hAnsi="宋体" w:eastAsia="宋体"/>
          <w:color w:val="auto"/>
          <w:szCs w:val="21"/>
        </w:rPr>
        <w:t>、招标文件规定的证明文件</w:t>
      </w:r>
    </w:p>
    <w:p w14:paraId="63FE1FE7">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九</w:t>
      </w:r>
      <w:r>
        <w:rPr>
          <w:rFonts w:hint="eastAsia" w:ascii="宋体" w:hAnsi="宋体" w:eastAsia="宋体"/>
          <w:color w:val="auto"/>
          <w:szCs w:val="21"/>
        </w:rPr>
        <w:t>、投标人认为需提供的其他资料</w:t>
      </w:r>
    </w:p>
    <w:p w14:paraId="3EB7B4D2">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12.2投标人可以编制资格审查索引表、符合性审查索引表、评审索引表，以方便采购人、评标委员会在资格审查及评审时查阅。</w:t>
      </w:r>
    </w:p>
    <w:p w14:paraId="647630D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12.3根据《政府采购法》第四十二条的规定，投标人无论中标与否，其投标文件不予退还。</w:t>
      </w:r>
    </w:p>
    <w:p w14:paraId="7D8EE42C">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13. 投标报价</w:t>
      </w:r>
    </w:p>
    <w:p w14:paraId="27E99C9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77AF2CB2">
      <w:pPr>
        <w:adjustRightInd w:val="0"/>
        <w:snapToGrid w:val="0"/>
        <w:spacing w:before="156" w:beforeLines="50" w:line="360" w:lineRule="auto"/>
        <w:ind w:firstLine="420" w:firstLineChars="200"/>
        <w:jc w:val="left"/>
        <w:rPr>
          <w:rFonts w:ascii="宋体" w:hAnsi="宋体" w:eastAsia="宋体"/>
          <w:color w:val="auto"/>
          <w:szCs w:val="21"/>
        </w:rPr>
      </w:pPr>
      <w:r>
        <w:rPr>
          <w:rFonts w:ascii="宋体" w:hAnsi="宋体" w:eastAsia="宋体"/>
          <w:color w:val="auto"/>
          <w:szCs w:val="21"/>
        </w:rPr>
        <w:t>1</w:t>
      </w:r>
      <w:r>
        <w:rPr>
          <w:rFonts w:hint="eastAsia" w:ascii="宋体" w:hAnsi="宋体" w:eastAsia="宋体"/>
          <w:color w:val="auto"/>
          <w:szCs w:val="21"/>
        </w:rPr>
        <w:t>3</w:t>
      </w:r>
      <w:r>
        <w:rPr>
          <w:rFonts w:ascii="宋体" w:hAnsi="宋体" w:eastAsia="宋体"/>
          <w:color w:val="auto"/>
          <w:szCs w:val="21"/>
        </w:rPr>
        <w:t>.</w:t>
      </w:r>
      <w:r>
        <w:rPr>
          <w:rFonts w:hint="eastAsia" w:ascii="宋体" w:hAnsi="宋体" w:eastAsia="宋体"/>
          <w:color w:val="auto"/>
          <w:szCs w:val="21"/>
        </w:rPr>
        <w:t>2投标人的投标报价不得超过采购</w:t>
      </w:r>
      <w:r>
        <w:rPr>
          <w:rFonts w:hint="eastAsia" w:ascii="宋体" w:hAnsi="宋体"/>
          <w:color w:val="auto"/>
          <w:szCs w:val="21"/>
          <w:lang w:val="en-US" w:eastAsia="zh-CN"/>
        </w:rPr>
        <w:t>项目</w:t>
      </w:r>
      <w:r>
        <w:rPr>
          <w:rFonts w:hint="eastAsia" w:ascii="宋体" w:hAnsi="宋体" w:eastAsia="宋体"/>
          <w:color w:val="auto"/>
          <w:szCs w:val="21"/>
        </w:rPr>
        <w:t>预算，也不得超过最高限价(如果设定)，否则其</w:t>
      </w:r>
      <w:r>
        <w:rPr>
          <w:rFonts w:hint="eastAsia" w:ascii="宋体" w:hAnsi="宋体" w:eastAsia="宋体"/>
          <w:b/>
          <w:color w:val="auto"/>
          <w:szCs w:val="21"/>
        </w:rPr>
        <w:t>投标无效</w:t>
      </w:r>
      <w:r>
        <w:rPr>
          <w:rFonts w:hint="eastAsia" w:ascii="宋体" w:hAnsi="宋体" w:eastAsia="宋体"/>
          <w:color w:val="auto"/>
          <w:szCs w:val="21"/>
        </w:rPr>
        <w:t>。采购项目预算、最高限价见</w:t>
      </w:r>
      <w:r>
        <w:rPr>
          <w:rFonts w:hint="eastAsia" w:ascii="宋体" w:hAnsi="宋体" w:eastAsia="宋体"/>
          <w:b/>
          <w:color w:val="auto"/>
          <w:szCs w:val="21"/>
        </w:rPr>
        <w:t>【投标须知前附表】</w:t>
      </w:r>
      <w:r>
        <w:rPr>
          <w:rFonts w:hint="eastAsia" w:ascii="宋体" w:hAnsi="宋体" w:eastAsia="宋体"/>
          <w:color w:val="auto"/>
          <w:szCs w:val="21"/>
        </w:rPr>
        <w:t>。</w:t>
      </w:r>
    </w:p>
    <w:p w14:paraId="3772E67A">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szCs w:val="21"/>
        </w:rPr>
        <w:t>13.3 投标人应在分项报价明细表中对每项内容给予详细分项</w:t>
      </w:r>
      <w:r>
        <w:rPr>
          <w:rFonts w:hint="eastAsia" w:ascii="宋体" w:hAnsi="宋体" w:eastAsia="宋体"/>
          <w:color w:val="auto"/>
        </w:rPr>
        <w:t>报价。</w:t>
      </w:r>
    </w:p>
    <w:p w14:paraId="46F6DE17">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13.4投标人对采购项目内容只允许有一个投标报价，否则其</w:t>
      </w:r>
      <w:r>
        <w:rPr>
          <w:rFonts w:hint="eastAsia" w:ascii="宋体" w:hAnsi="宋体" w:eastAsia="宋体"/>
          <w:b/>
          <w:color w:val="auto"/>
        </w:rPr>
        <w:t>投标无效</w:t>
      </w:r>
      <w:r>
        <w:rPr>
          <w:rFonts w:hint="eastAsia" w:ascii="宋体" w:hAnsi="宋体" w:eastAsia="宋体"/>
          <w:color w:val="auto"/>
        </w:rPr>
        <w:t>。</w:t>
      </w:r>
    </w:p>
    <w:p w14:paraId="2B2A632F">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13.5采购人不接受投标人给予的赠品、回扣或者与采购无关的其他商品、服务。如有赠与行为，其</w:t>
      </w:r>
      <w:r>
        <w:rPr>
          <w:rFonts w:hint="eastAsia" w:ascii="宋体" w:hAnsi="宋体" w:eastAsia="宋体"/>
          <w:b/>
          <w:color w:val="auto"/>
        </w:rPr>
        <w:t>投标无效</w:t>
      </w:r>
      <w:r>
        <w:rPr>
          <w:rFonts w:hint="eastAsia" w:ascii="宋体" w:hAnsi="宋体" w:eastAsia="宋体"/>
          <w:color w:val="auto"/>
        </w:rPr>
        <w:t>。</w:t>
      </w:r>
    </w:p>
    <w:p w14:paraId="2EEA3766">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13.6</w:t>
      </w:r>
      <w:r>
        <w:rPr>
          <w:rFonts w:hint="eastAsia" w:ascii="宋体" w:hAnsi="宋体" w:eastAsia="宋体"/>
          <w:color w:val="auto"/>
          <w:szCs w:val="21"/>
          <w:lang w:val="en-US" w:eastAsia="zh-CN"/>
        </w:rPr>
        <w:t>采用固定价格定价方式的采购项目，</w:t>
      </w:r>
      <w:r>
        <w:rPr>
          <w:rFonts w:hint="eastAsia" w:ascii="宋体" w:hAnsi="宋体" w:eastAsia="宋体"/>
          <w:color w:val="auto"/>
        </w:rPr>
        <w:t>投标文件中标明的价格在合同执行过程中是固定不变的，不得以任何理由予以变更。任何包含价格调整要求和条件的投标，其</w:t>
      </w:r>
      <w:r>
        <w:rPr>
          <w:rFonts w:hint="eastAsia" w:ascii="宋体" w:hAnsi="宋体" w:eastAsia="宋体"/>
          <w:b/>
          <w:color w:val="auto"/>
        </w:rPr>
        <w:t>投标无效</w:t>
      </w:r>
      <w:r>
        <w:rPr>
          <w:rFonts w:hint="eastAsia" w:ascii="宋体" w:hAnsi="宋体" w:eastAsia="宋体"/>
          <w:color w:val="auto"/>
        </w:rPr>
        <w:t>。</w:t>
      </w:r>
    </w:p>
    <w:p w14:paraId="2CFA0BF0">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13.7投标人在投标截止时间前修改“开标一览表”中的投标报价的，应同时修改投标文件“分项报价明细表”以及“联合体协议书”（如果影响）等相关内容。此修改须符合本章第22.1款的有关要求。</w:t>
      </w:r>
    </w:p>
    <w:p w14:paraId="1668E144">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13.8投标报价的其他要求见</w:t>
      </w:r>
      <w:r>
        <w:rPr>
          <w:rFonts w:hint="eastAsia" w:ascii="宋体" w:hAnsi="宋体"/>
          <w:b/>
          <w:color w:val="auto"/>
          <w:szCs w:val="21"/>
        </w:rPr>
        <w:t>【投标须知前附表】</w:t>
      </w:r>
      <w:r>
        <w:rPr>
          <w:rFonts w:hint="eastAsia" w:ascii="宋体" w:hAnsi="宋体" w:eastAsia="宋体"/>
          <w:color w:val="auto"/>
        </w:rPr>
        <w:t xml:space="preserve">。 </w:t>
      </w:r>
    </w:p>
    <w:p w14:paraId="00474A86">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color w:val="auto"/>
          <w:sz w:val="24"/>
        </w:rPr>
        <w:t xml:space="preserve">14. </w:t>
      </w:r>
      <w:r>
        <w:rPr>
          <w:rFonts w:hint="eastAsia" w:ascii="宋体" w:hAnsi="宋体" w:eastAsia="宋体"/>
          <w:b/>
          <w:bCs/>
          <w:color w:val="auto"/>
          <w:sz w:val="24"/>
        </w:rPr>
        <w:t>投标人的资格证明文件</w:t>
      </w:r>
    </w:p>
    <w:p w14:paraId="4754A6FA">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color w:val="auto"/>
        </w:rPr>
        <w:t>14.1</w:t>
      </w:r>
      <w:r>
        <w:rPr>
          <w:rFonts w:hint="eastAsia" w:ascii="宋体" w:hAnsi="宋体" w:eastAsia="宋体"/>
          <w:color w:val="auto"/>
          <w:szCs w:val="21"/>
        </w:rPr>
        <w:t>除</w:t>
      </w:r>
      <w:r>
        <w:rPr>
          <w:rFonts w:hint="eastAsia" w:ascii="宋体" w:hAnsi="宋体"/>
          <w:b/>
          <w:color w:val="auto"/>
          <w:szCs w:val="21"/>
        </w:rPr>
        <w:t>【投标须知前附表】</w:t>
      </w:r>
      <w:r>
        <w:rPr>
          <w:rFonts w:hint="eastAsia" w:ascii="宋体" w:hAnsi="宋体" w:eastAsia="宋体"/>
          <w:color w:val="auto"/>
          <w:szCs w:val="21"/>
        </w:rPr>
        <w:t>另有规</w:t>
      </w:r>
      <w:r>
        <w:rPr>
          <w:rFonts w:hint="eastAsia" w:ascii="宋体" w:hAnsi="宋体" w:eastAsia="宋体"/>
          <w:color w:val="auto"/>
        </w:rPr>
        <w:t>定外，投标人应按下列规定提供资格证明文件。</w:t>
      </w:r>
    </w:p>
    <w:p w14:paraId="2CB012FC">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w:t>
      </w:r>
      <w:r>
        <w:rPr>
          <w:rFonts w:hint="eastAsia" w:ascii="宋体" w:hAnsi="宋体"/>
          <w:b/>
          <w:color w:val="auto"/>
        </w:rPr>
        <w:t>法人或者其他组织的营业执照等主体资格证明文件，自然人的身份证明</w:t>
      </w:r>
      <w:r>
        <w:rPr>
          <w:rFonts w:hint="eastAsia" w:ascii="宋体" w:hAnsi="宋体"/>
          <w:color w:val="auto"/>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1509D485">
      <w:pPr>
        <w:adjustRightInd w:val="0"/>
        <w:snapToGrid w:val="0"/>
        <w:spacing w:before="156" w:beforeLines="50" w:line="360" w:lineRule="auto"/>
        <w:ind w:firstLine="420" w:firstLineChars="200"/>
        <w:rPr>
          <w:rFonts w:ascii="宋体" w:hAnsi="宋体" w:eastAsia="宋体"/>
          <w:b/>
          <w:color w:val="auto"/>
        </w:rPr>
      </w:pPr>
      <w:r>
        <w:rPr>
          <w:rFonts w:hint="eastAsia" w:ascii="宋体" w:hAnsi="宋体" w:eastAsia="宋体"/>
          <w:b/>
          <w:color w:val="auto"/>
        </w:rPr>
        <w:t>（2）湖南省政府采购供应商资格承诺函(格式)</w:t>
      </w:r>
    </w:p>
    <w:p w14:paraId="3670F63A">
      <w:pPr>
        <w:adjustRightInd w:val="0"/>
        <w:snapToGrid w:val="0"/>
        <w:spacing w:before="156" w:beforeLines="50" w:line="360" w:lineRule="auto"/>
        <w:ind w:firstLine="420" w:firstLineChars="200"/>
        <w:rPr>
          <w:rFonts w:ascii="宋体" w:hAnsi="宋体" w:eastAsia="宋体"/>
          <w:b/>
          <w:color w:val="auto"/>
        </w:rPr>
      </w:pPr>
      <w:r>
        <w:rPr>
          <w:rFonts w:hint="eastAsia" w:ascii="宋体" w:hAnsi="宋体" w:eastAsia="宋体"/>
          <w:b/>
          <w:color w:val="auto"/>
        </w:rPr>
        <w:t>（3）符合特定资格条件证明材料或者情况说明。</w:t>
      </w:r>
    </w:p>
    <w:p w14:paraId="73B13F25">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14.2投标人以联合体形式投标的，除应提交联合协议(格式)外，参加联合体的各方均应提交上款资格证明材料。</w:t>
      </w:r>
    </w:p>
    <w:p w14:paraId="187BEFBB">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14.3投标人的资格证明文件均应为有效文件并加盖投标人单位章，并按招标文件规定签署。</w:t>
      </w:r>
    </w:p>
    <w:p w14:paraId="4C7277E6">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15. 投标货物及服务符合招标文件规定的证明文件</w:t>
      </w:r>
    </w:p>
    <w:p w14:paraId="7FAD68A2">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15.1投标人应当提交其拟供的合同项下货物及服务符合招标文件规定的证明文件,该证明文件作为投标文件的一部分。</w:t>
      </w:r>
    </w:p>
    <w:p w14:paraId="48177C3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15.2上述证明文件可以是文字资料、图表、数据、证书等资料，包括但不限于：</w:t>
      </w:r>
    </w:p>
    <w:p w14:paraId="309F651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（1）货物主要技术指标和性能的详细说明。对有具体参数要求的指标，投标人应提供具体参数值；</w:t>
      </w:r>
    </w:p>
    <w:p w14:paraId="36BD795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（2）货物的品牌型号、制造商及原产地等说明；</w:t>
      </w:r>
    </w:p>
    <w:p w14:paraId="4704BA93">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（3）招标文件第五章“采购需求”要求的其它文件。</w:t>
      </w:r>
    </w:p>
    <w:p w14:paraId="26AAA9B2">
      <w:pPr>
        <w:adjustRightInd w:val="0"/>
        <w:snapToGrid w:val="0"/>
        <w:spacing w:before="156" w:beforeLines="50" w:line="360" w:lineRule="auto"/>
        <w:jc w:val="left"/>
        <w:rPr>
          <w:rFonts w:ascii="宋体" w:hAnsi="宋体" w:eastAsia="宋体"/>
          <w:b/>
          <w:bCs/>
          <w:color w:val="auto"/>
          <w:sz w:val="24"/>
        </w:rPr>
      </w:pPr>
      <w:r>
        <w:rPr>
          <w:rFonts w:hint="eastAsia" w:ascii="宋体" w:hAnsi="宋体" w:eastAsia="宋体"/>
          <w:b/>
          <w:bCs/>
          <w:color w:val="auto"/>
          <w:sz w:val="24"/>
        </w:rPr>
        <w:t>16. 投标有效期</w:t>
      </w:r>
    </w:p>
    <w:p w14:paraId="1DE897C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16.1投标有效期从提交投标文件的截止之日起算。投标文件中承诺的投标有效期应当不少于</w:t>
      </w:r>
      <w:r>
        <w:rPr>
          <w:rFonts w:hint="eastAsia" w:ascii="宋体" w:hAnsi="宋体" w:eastAsia="宋体"/>
          <w:b/>
          <w:color w:val="auto"/>
          <w:szCs w:val="21"/>
        </w:rPr>
        <w:t>【投标须知前附表】</w:t>
      </w:r>
      <w:r>
        <w:rPr>
          <w:rFonts w:hint="eastAsia" w:ascii="宋体" w:hAnsi="宋体" w:eastAsia="宋体"/>
          <w:color w:val="auto"/>
          <w:szCs w:val="21"/>
        </w:rPr>
        <w:t>中载明的投标有效期。投标有效期不满足要求的，其</w:t>
      </w:r>
      <w:r>
        <w:rPr>
          <w:rFonts w:hint="eastAsia" w:ascii="宋体" w:hAnsi="宋体" w:eastAsia="宋体"/>
          <w:b/>
          <w:color w:val="auto"/>
          <w:szCs w:val="21"/>
        </w:rPr>
        <w:t>投标无效</w:t>
      </w:r>
      <w:r>
        <w:rPr>
          <w:rFonts w:hint="eastAsia" w:ascii="宋体" w:hAnsi="宋体" w:eastAsia="宋体"/>
          <w:color w:val="auto"/>
          <w:szCs w:val="21"/>
        </w:rPr>
        <w:t>。</w:t>
      </w:r>
    </w:p>
    <w:p w14:paraId="0229F697">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16.2投标有效期内投标人撤销投标文件的，投标人应承担招标文件和法律规定的责任。</w:t>
      </w:r>
    </w:p>
    <w:p w14:paraId="11B3BCD4">
      <w:pPr>
        <w:adjustRightInd w:val="0"/>
        <w:snapToGrid w:val="0"/>
        <w:spacing w:before="156" w:beforeLines="50" w:line="360" w:lineRule="auto"/>
        <w:jc w:val="left"/>
        <w:rPr>
          <w:rFonts w:ascii="宋体" w:hAnsi="宋体" w:eastAsia="宋体"/>
          <w:b/>
          <w:color w:val="auto"/>
          <w:sz w:val="24"/>
        </w:rPr>
      </w:pPr>
      <w:r>
        <w:rPr>
          <w:rFonts w:hint="eastAsia" w:ascii="宋体" w:hAnsi="宋体"/>
          <w:b/>
          <w:color w:val="auto"/>
          <w:sz w:val="24"/>
          <w:lang w:eastAsia="zh-CN"/>
        </w:rPr>
        <w:t>17</w:t>
      </w:r>
      <w:r>
        <w:rPr>
          <w:rFonts w:hint="eastAsia" w:ascii="宋体" w:hAnsi="宋体" w:eastAsia="宋体"/>
          <w:b/>
          <w:color w:val="auto"/>
          <w:sz w:val="24"/>
        </w:rPr>
        <w:t>.分包</w:t>
      </w:r>
    </w:p>
    <w:p w14:paraId="16CE83AA">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lang w:eastAsia="zh-CN"/>
        </w:rPr>
        <w:t>17</w:t>
      </w:r>
      <w:r>
        <w:rPr>
          <w:rFonts w:hint="eastAsia" w:ascii="宋体" w:hAnsi="宋体"/>
          <w:color w:val="auto"/>
        </w:rPr>
        <w:t>.1</w:t>
      </w:r>
      <w:r>
        <w:rPr>
          <w:rFonts w:hint="eastAsia" w:hAnsi="宋体"/>
          <w:b/>
          <w:bCs/>
          <w:color w:val="auto"/>
        </w:rPr>
        <w:t>【投标须知前附表】</w:t>
      </w:r>
      <w:r>
        <w:rPr>
          <w:rFonts w:hint="eastAsia" w:ascii="宋体" w:hAnsi="宋体"/>
          <w:color w:val="auto"/>
        </w:rPr>
        <w:t>规定投标人分包的，投标人分包承诺不符合招标文件中有关分包规定的，其</w:t>
      </w:r>
      <w:r>
        <w:rPr>
          <w:rFonts w:hint="eastAsia" w:ascii="宋体" w:hAnsi="宋体"/>
          <w:b/>
          <w:bCs/>
          <w:color w:val="auto"/>
        </w:rPr>
        <w:t>投标无效</w:t>
      </w:r>
      <w:r>
        <w:rPr>
          <w:rFonts w:hint="eastAsia" w:ascii="宋体" w:hAnsi="宋体"/>
          <w:color w:val="auto"/>
        </w:rPr>
        <w:t>。</w:t>
      </w:r>
    </w:p>
    <w:p w14:paraId="6FB0EAC2">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lang w:eastAsia="zh-CN"/>
        </w:rPr>
        <w:t>17</w:t>
      </w:r>
      <w:r>
        <w:rPr>
          <w:rFonts w:hint="eastAsia" w:ascii="宋体" w:hAnsi="宋体"/>
          <w:color w:val="auto"/>
        </w:rPr>
        <w:t>.2投标人应在签订合同前向采购人提供分包合同，否则，采购人有权拒绝签订采购合同。</w:t>
      </w:r>
    </w:p>
    <w:p w14:paraId="784F4CE9">
      <w:pPr>
        <w:adjustRightInd w:val="0"/>
        <w:snapToGrid w:val="0"/>
        <w:spacing w:before="156" w:beforeLines="50" w:line="360" w:lineRule="auto"/>
        <w:ind w:firstLine="420" w:firstLineChars="200"/>
        <w:jc w:val="left"/>
        <w:rPr>
          <w:rFonts w:ascii="宋体" w:hAnsi="宋体"/>
          <w:color w:val="auto"/>
        </w:rPr>
      </w:pPr>
      <w:r>
        <w:rPr>
          <w:rFonts w:hint="eastAsia" w:ascii="宋体" w:hAnsi="宋体"/>
          <w:color w:val="auto"/>
          <w:lang w:eastAsia="zh-CN"/>
        </w:rPr>
        <w:t>17</w:t>
      </w: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分包供应商不得再次分包。</w:t>
      </w:r>
    </w:p>
    <w:p w14:paraId="1AD8DB18">
      <w:pPr>
        <w:adjustRightInd w:val="0"/>
        <w:snapToGrid w:val="0"/>
        <w:spacing w:before="156" w:beforeLines="50" w:line="360" w:lineRule="auto"/>
        <w:jc w:val="left"/>
        <w:rPr>
          <w:rFonts w:ascii="宋体" w:hAnsi="宋体" w:eastAsia="宋体"/>
          <w:b/>
          <w:bCs/>
          <w:color w:val="auto"/>
          <w:sz w:val="24"/>
        </w:rPr>
      </w:pPr>
      <w:r>
        <w:rPr>
          <w:rFonts w:hint="eastAsia" w:ascii="宋体" w:hAnsi="宋体"/>
          <w:b/>
          <w:bCs/>
          <w:color w:val="auto"/>
          <w:sz w:val="24"/>
          <w:lang w:eastAsia="zh-CN"/>
        </w:rPr>
        <w:t>18</w:t>
      </w:r>
      <w:r>
        <w:rPr>
          <w:rFonts w:hint="eastAsia" w:ascii="宋体" w:hAnsi="宋体" w:eastAsia="宋体"/>
          <w:b/>
          <w:bCs/>
          <w:color w:val="auto"/>
          <w:sz w:val="24"/>
        </w:rPr>
        <w:t>. 投标文件的签署</w:t>
      </w:r>
    </w:p>
    <w:p w14:paraId="35A5630D">
      <w:pPr>
        <w:adjustRightInd w:val="0"/>
        <w:snapToGrid w:val="0"/>
        <w:spacing w:before="156" w:beforeLines="50" w:line="360" w:lineRule="auto"/>
        <w:ind w:firstLine="420" w:firstLineChars="200"/>
        <w:jc w:val="left"/>
        <w:rPr>
          <w:rFonts w:hint="eastAsia" w:ascii="宋体" w:hAnsi="宋体" w:eastAsia="宋体"/>
          <w:color w:val="auto"/>
          <w:szCs w:val="21"/>
        </w:rPr>
      </w:pPr>
      <w:r>
        <w:rPr>
          <w:rFonts w:hint="eastAsia" w:ascii="宋体" w:hAnsi="宋体"/>
          <w:color w:val="auto"/>
          <w:szCs w:val="21"/>
          <w:lang w:eastAsia="zh-CN"/>
        </w:rPr>
        <w:t>18</w:t>
      </w:r>
      <w:r>
        <w:rPr>
          <w:rFonts w:hint="eastAsia" w:ascii="宋体" w:hAnsi="宋体" w:eastAsia="宋体"/>
          <w:color w:val="auto"/>
          <w:szCs w:val="21"/>
        </w:rPr>
        <w:t>.1投标文件正本一份，副本份数见</w:t>
      </w:r>
      <w:r>
        <w:rPr>
          <w:rFonts w:hint="eastAsia" w:ascii="宋体" w:hAnsi="宋体" w:eastAsia="宋体"/>
          <w:b/>
          <w:color w:val="auto"/>
          <w:szCs w:val="21"/>
        </w:rPr>
        <w:t>【投标须知前附表】</w:t>
      </w:r>
      <w:r>
        <w:rPr>
          <w:rFonts w:hint="eastAsia" w:ascii="宋体" w:hAnsi="宋体" w:eastAsia="宋体"/>
          <w:bCs/>
          <w:color w:val="auto"/>
          <w:szCs w:val="21"/>
        </w:rPr>
        <w:t>。</w:t>
      </w:r>
      <w:r>
        <w:rPr>
          <w:rFonts w:hint="eastAsia" w:ascii="宋体" w:hAnsi="宋体" w:eastAsia="宋体"/>
          <w:color w:val="auto"/>
          <w:szCs w:val="21"/>
        </w:rPr>
        <w:t>纸质投标文件须清楚地注明“正本”或“副本”的字样。</w:t>
      </w:r>
    </w:p>
    <w:p w14:paraId="11F2A056">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eastAsia="zh-CN"/>
        </w:rPr>
        <w:t>18</w:t>
      </w:r>
      <w:r>
        <w:rPr>
          <w:rFonts w:hint="eastAsia" w:ascii="宋体" w:hAnsi="宋体" w:eastAsia="宋体"/>
          <w:color w:val="auto"/>
          <w:szCs w:val="21"/>
        </w:rPr>
        <w:t>.2投标文件正本应打印或用不褪色的材料书写，并由投标人和投标人代表按照招标文件规定在投标文件需要签署的位置签署、盖章。投标人代表可为投标人法定代表人(非法人组织为负责人、个体工商户为负责人，以下统称单位负责人)；投标人代表不是投标人的法定代表人（单位负责人）的，应提供授权委托书</w:t>
      </w:r>
      <w:r>
        <w:rPr>
          <w:rFonts w:hint="eastAsia" w:ascii="宋体" w:hAnsi="宋体"/>
          <w:color w:val="auto"/>
          <w:szCs w:val="21"/>
          <w:lang w:val="en-US" w:eastAsia="zh-CN"/>
        </w:rPr>
        <w:t>,且携带</w:t>
      </w:r>
      <w:r>
        <w:rPr>
          <w:rFonts w:hint="eastAsia" w:ascii="宋体" w:hAnsi="宋体" w:eastAsia="宋体" w:cs="宋体"/>
          <w:color w:val="auto"/>
          <w:sz w:val="21"/>
          <w:szCs w:val="21"/>
          <w:lang w:val="en-US" w:eastAsia="zh-CN"/>
        </w:rPr>
        <w:t>携带近6个月的社保缴纳证明</w:t>
      </w:r>
      <w:r>
        <w:rPr>
          <w:rFonts w:hint="eastAsia" w:ascii="宋体" w:hAnsi="宋体"/>
          <w:color w:val="auto"/>
          <w:shd w:val="clear" w:color="auto" w:fill="auto"/>
          <w:lang w:val="en-US" w:eastAsia="zh-CN"/>
        </w:rPr>
        <w:t>。</w:t>
      </w:r>
      <w:r>
        <w:rPr>
          <w:rFonts w:hint="eastAsia" w:ascii="宋体" w:hAnsi="宋体" w:eastAsia="宋体"/>
          <w:color w:val="auto"/>
          <w:szCs w:val="21"/>
        </w:rPr>
        <w:t>投标文件的副本可以是正本文件的复印件。投标文件的正本与副本应分别装订成册，并编制目录。</w:t>
      </w:r>
    </w:p>
    <w:p w14:paraId="09A53A07">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eastAsia="zh-CN"/>
        </w:rPr>
        <w:t>18</w:t>
      </w:r>
      <w:r>
        <w:rPr>
          <w:rFonts w:hint="eastAsia" w:ascii="宋体" w:hAnsi="宋体" w:eastAsia="宋体"/>
          <w:color w:val="auto"/>
          <w:szCs w:val="21"/>
        </w:rPr>
        <w:t>.3投标文件中的任何行间插字、涂改和增删，改动的地方应加盖单位章或由投标人代表签字确认。不按上述要求签署的，</w:t>
      </w:r>
      <w:r>
        <w:rPr>
          <w:rFonts w:hint="eastAsia" w:ascii="宋体" w:hAnsi="宋体" w:eastAsia="宋体"/>
          <w:b/>
          <w:color w:val="auto"/>
          <w:szCs w:val="21"/>
        </w:rPr>
        <w:t>其投标无效</w:t>
      </w:r>
      <w:r>
        <w:rPr>
          <w:rFonts w:hint="eastAsia" w:ascii="宋体" w:hAnsi="宋体" w:eastAsia="宋体"/>
          <w:color w:val="auto"/>
          <w:szCs w:val="21"/>
        </w:rPr>
        <w:t>。</w:t>
      </w:r>
    </w:p>
    <w:p w14:paraId="2DE34F76">
      <w:pPr>
        <w:pStyle w:val="6"/>
        <w:keepNext w:val="0"/>
        <w:keepLines w:val="0"/>
        <w:adjustRightInd w:val="0"/>
        <w:snapToGrid w:val="0"/>
        <w:spacing w:before="156" w:beforeLines="50" w:after="0" w:line="360" w:lineRule="auto"/>
        <w:jc w:val="center"/>
        <w:rPr>
          <w:rFonts w:ascii="黑体" w:hAnsi="黑体" w:eastAsia="黑体"/>
          <w:color w:val="auto"/>
          <w:sz w:val="28"/>
          <w:szCs w:val="28"/>
        </w:rPr>
      </w:pPr>
      <w:bookmarkStart w:id="24" w:name="_Toc16048"/>
      <w:r>
        <w:rPr>
          <w:rFonts w:hint="eastAsia" w:ascii="黑体" w:hAnsi="黑体" w:eastAsia="黑体"/>
          <w:color w:val="auto"/>
          <w:sz w:val="28"/>
          <w:szCs w:val="28"/>
        </w:rPr>
        <w:t>四、投标</w:t>
      </w:r>
      <w:bookmarkEnd w:id="24"/>
    </w:p>
    <w:p w14:paraId="6F226A39">
      <w:pPr>
        <w:adjustRightInd w:val="0"/>
        <w:snapToGrid w:val="0"/>
        <w:spacing w:before="156" w:beforeLines="50" w:line="360" w:lineRule="auto"/>
        <w:jc w:val="left"/>
        <w:rPr>
          <w:rFonts w:ascii="宋体" w:hAnsi="宋体" w:eastAsia="宋体"/>
          <w:b/>
          <w:bCs/>
          <w:color w:val="auto"/>
          <w:sz w:val="24"/>
        </w:rPr>
      </w:pPr>
      <w:r>
        <w:rPr>
          <w:rFonts w:hint="eastAsia" w:ascii="宋体" w:hAnsi="宋体"/>
          <w:b/>
          <w:color w:val="auto"/>
          <w:sz w:val="24"/>
          <w:lang w:val="en-US" w:eastAsia="zh-CN"/>
        </w:rPr>
        <w:t>19</w:t>
      </w:r>
      <w:r>
        <w:rPr>
          <w:rFonts w:hint="eastAsia" w:ascii="宋体" w:hAnsi="宋体" w:eastAsia="宋体"/>
          <w:b/>
          <w:color w:val="auto"/>
          <w:sz w:val="24"/>
        </w:rPr>
        <w:t>.</w:t>
      </w:r>
      <w:r>
        <w:rPr>
          <w:rFonts w:hint="eastAsia" w:ascii="宋体" w:hAnsi="宋体" w:eastAsia="宋体"/>
          <w:b/>
          <w:bCs/>
          <w:color w:val="auto"/>
          <w:sz w:val="24"/>
        </w:rPr>
        <w:t xml:space="preserve"> 投标文件的密封和标记</w:t>
      </w:r>
    </w:p>
    <w:p w14:paraId="6805F64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19</w:t>
      </w:r>
      <w:r>
        <w:rPr>
          <w:rFonts w:hint="eastAsia" w:ascii="宋体" w:hAnsi="宋体" w:eastAsia="宋体"/>
          <w:color w:val="auto"/>
          <w:szCs w:val="21"/>
        </w:rPr>
        <w:t>.1投标人应将投标文件密封包装以保证自己的投标信息在开标前不被透露。</w:t>
      </w:r>
    </w:p>
    <w:p w14:paraId="15DA603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19</w:t>
      </w:r>
      <w:r>
        <w:rPr>
          <w:rFonts w:ascii="宋体" w:hAnsi="宋体" w:eastAsia="宋体"/>
          <w:color w:val="auto"/>
          <w:szCs w:val="21"/>
        </w:rPr>
        <w:t>.2</w:t>
      </w:r>
      <w:r>
        <w:rPr>
          <w:rFonts w:hint="eastAsia" w:ascii="宋体" w:hAnsi="宋体" w:eastAsia="宋体"/>
          <w:color w:val="auto"/>
          <w:szCs w:val="21"/>
        </w:rPr>
        <w:t>投标文件密封袋上应标明“投标项目名称”、“正本”或“副本”和“于（开标时间） 之前不得开启”的字样。如果采购项目分包招标的，还应注明投标的包号。</w:t>
      </w:r>
    </w:p>
    <w:p w14:paraId="6B5A52F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19</w:t>
      </w:r>
      <w:r>
        <w:rPr>
          <w:rFonts w:ascii="宋体" w:hAnsi="宋体" w:eastAsia="宋体"/>
          <w:color w:val="auto"/>
          <w:szCs w:val="21"/>
        </w:rPr>
        <w:t>.</w:t>
      </w:r>
      <w:r>
        <w:rPr>
          <w:rFonts w:hint="eastAsia" w:ascii="宋体" w:hAnsi="宋体"/>
          <w:color w:val="auto"/>
          <w:szCs w:val="21"/>
          <w:lang w:val="en-US" w:eastAsia="zh-CN"/>
        </w:rPr>
        <w:t>3</w:t>
      </w:r>
      <w:r>
        <w:rPr>
          <w:rFonts w:hint="eastAsia" w:ascii="宋体" w:hAnsi="宋体" w:eastAsia="宋体"/>
          <w:color w:val="auto"/>
          <w:szCs w:val="21"/>
        </w:rPr>
        <w:t>未按本章第 20.1 款要求密封的投标文件，采购人</w:t>
      </w:r>
      <w:r>
        <w:rPr>
          <w:rFonts w:hint="eastAsia" w:ascii="宋体" w:hAnsi="宋体" w:eastAsia="宋体"/>
          <w:b/>
          <w:color w:val="auto"/>
          <w:szCs w:val="21"/>
        </w:rPr>
        <w:t>应当拒收</w:t>
      </w:r>
      <w:r>
        <w:rPr>
          <w:rFonts w:hint="eastAsia" w:ascii="宋体" w:hAnsi="宋体" w:eastAsia="宋体"/>
          <w:color w:val="auto"/>
          <w:szCs w:val="21"/>
        </w:rPr>
        <w:t>。</w:t>
      </w:r>
    </w:p>
    <w:p w14:paraId="4EA983E2">
      <w:pPr>
        <w:adjustRightInd w:val="0"/>
        <w:snapToGrid w:val="0"/>
        <w:spacing w:before="156" w:beforeLines="50" w:line="360" w:lineRule="auto"/>
        <w:jc w:val="left"/>
        <w:rPr>
          <w:rFonts w:ascii="宋体" w:hAnsi="宋体" w:eastAsia="宋体"/>
          <w:b/>
          <w:bCs/>
          <w:color w:val="auto"/>
          <w:sz w:val="24"/>
        </w:rPr>
      </w:pPr>
      <w:r>
        <w:rPr>
          <w:rFonts w:hint="eastAsia" w:ascii="宋体" w:hAnsi="宋体"/>
          <w:b/>
          <w:bCs/>
          <w:color w:val="auto"/>
          <w:sz w:val="24"/>
          <w:lang w:val="en-US" w:eastAsia="zh-CN"/>
        </w:rPr>
        <w:t>20</w:t>
      </w:r>
      <w:r>
        <w:rPr>
          <w:rFonts w:hint="eastAsia" w:ascii="宋体" w:hAnsi="宋体" w:eastAsia="宋体"/>
          <w:b/>
          <w:bCs/>
          <w:color w:val="auto"/>
          <w:sz w:val="24"/>
        </w:rPr>
        <w:t>.投标截止期</w:t>
      </w:r>
    </w:p>
    <w:p w14:paraId="66CD5B56">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20</w:t>
      </w:r>
      <w:r>
        <w:rPr>
          <w:rFonts w:hint="eastAsia" w:ascii="宋体" w:hAnsi="宋体" w:eastAsia="宋体"/>
          <w:color w:val="auto"/>
          <w:szCs w:val="21"/>
        </w:rPr>
        <w:t>.1投标人应在</w:t>
      </w:r>
      <w:r>
        <w:rPr>
          <w:rFonts w:hint="eastAsia" w:ascii="宋体" w:hAnsi="宋体" w:eastAsia="宋体"/>
          <w:b/>
          <w:color w:val="auto"/>
          <w:szCs w:val="21"/>
        </w:rPr>
        <w:t>【投标须知前附表】</w:t>
      </w:r>
      <w:r>
        <w:rPr>
          <w:rFonts w:hint="eastAsia" w:ascii="宋体" w:hAnsi="宋体" w:eastAsia="宋体"/>
          <w:color w:val="auto"/>
          <w:szCs w:val="21"/>
        </w:rPr>
        <w:t>规定的投标截止时间将投标文件</w:t>
      </w:r>
      <w:r>
        <w:rPr>
          <w:rFonts w:hint="eastAsia" w:ascii="宋体" w:hAnsi="宋体" w:eastAsia="宋体"/>
          <w:bCs/>
          <w:color w:val="auto"/>
          <w:szCs w:val="21"/>
        </w:rPr>
        <w:t>密封送达</w:t>
      </w:r>
      <w:r>
        <w:rPr>
          <w:rFonts w:hint="eastAsia" w:ascii="宋体" w:hAnsi="宋体" w:eastAsia="宋体"/>
          <w:b/>
          <w:color w:val="auto"/>
          <w:szCs w:val="21"/>
        </w:rPr>
        <w:t>【投标须知前附表】</w:t>
      </w:r>
      <w:r>
        <w:rPr>
          <w:rFonts w:hint="eastAsia" w:ascii="宋体" w:hAnsi="宋体" w:eastAsia="宋体"/>
          <w:color w:val="auto"/>
          <w:szCs w:val="21"/>
        </w:rPr>
        <w:t>指定的投标地点。</w:t>
      </w:r>
    </w:p>
    <w:p w14:paraId="2003182C">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20</w:t>
      </w:r>
      <w:r>
        <w:rPr>
          <w:rFonts w:hint="eastAsia" w:ascii="宋体" w:hAnsi="宋体" w:eastAsia="宋体"/>
          <w:color w:val="auto"/>
          <w:szCs w:val="21"/>
        </w:rPr>
        <w:t>.2逾期送达的投标文件，采购人</w:t>
      </w:r>
      <w:r>
        <w:rPr>
          <w:rFonts w:hint="eastAsia" w:ascii="宋体" w:hAnsi="宋体" w:eastAsia="宋体"/>
          <w:b/>
          <w:color w:val="auto"/>
          <w:szCs w:val="21"/>
        </w:rPr>
        <w:t>应当拒收</w:t>
      </w:r>
      <w:r>
        <w:rPr>
          <w:rFonts w:hint="eastAsia" w:ascii="宋体" w:hAnsi="宋体" w:eastAsia="宋体"/>
          <w:color w:val="auto"/>
          <w:szCs w:val="21"/>
        </w:rPr>
        <w:t>。</w:t>
      </w:r>
    </w:p>
    <w:p w14:paraId="353EE473">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color w:val="auto"/>
          <w:szCs w:val="21"/>
          <w:lang w:val="en-US" w:eastAsia="zh-CN"/>
        </w:rPr>
        <w:t>20</w:t>
      </w:r>
      <w:r>
        <w:rPr>
          <w:rFonts w:hint="eastAsia" w:ascii="宋体" w:hAnsi="宋体" w:eastAsia="宋体"/>
          <w:color w:val="auto"/>
          <w:szCs w:val="21"/>
        </w:rPr>
        <w:t>.3</w:t>
      </w:r>
      <w:r>
        <w:rPr>
          <w:rFonts w:hint="eastAsia" w:ascii="宋体" w:hAnsi="宋体" w:eastAsia="宋体"/>
          <w:bCs/>
          <w:color w:val="auto"/>
          <w:szCs w:val="21"/>
        </w:rPr>
        <w:t>采购人收到投标文件后，应</w:t>
      </w:r>
      <w:r>
        <w:rPr>
          <w:rFonts w:hint="eastAsia" w:ascii="宋体" w:hAnsi="宋体"/>
          <w:bCs/>
          <w:color w:val="auto"/>
          <w:szCs w:val="21"/>
          <w:lang w:eastAsia="zh-CN"/>
        </w:rPr>
        <w:t>现场说明</w:t>
      </w:r>
      <w:r>
        <w:rPr>
          <w:rFonts w:hint="eastAsia" w:ascii="宋体" w:hAnsi="宋体" w:eastAsia="宋体"/>
          <w:bCs/>
          <w:color w:val="auto"/>
          <w:szCs w:val="21"/>
        </w:rPr>
        <w:t>密封情况。任何单位和个人不得在开标前开启投标文件。</w:t>
      </w:r>
    </w:p>
    <w:p w14:paraId="547D719E">
      <w:pPr>
        <w:adjustRightInd w:val="0"/>
        <w:snapToGrid w:val="0"/>
        <w:spacing w:before="156" w:beforeLines="50" w:line="360" w:lineRule="auto"/>
        <w:jc w:val="left"/>
        <w:rPr>
          <w:rFonts w:ascii="宋体" w:hAnsi="宋体" w:eastAsia="宋体"/>
          <w:b/>
          <w:bCs/>
          <w:color w:val="auto"/>
          <w:sz w:val="24"/>
        </w:rPr>
      </w:pPr>
      <w:r>
        <w:rPr>
          <w:rFonts w:hint="eastAsia" w:ascii="宋体" w:hAnsi="宋体"/>
          <w:b/>
          <w:bCs/>
          <w:color w:val="auto"/>
          <w:sz w:val="24"/>
          <w:lang w:val="en-US" w:eastAsia="zh-CN"/>
        </w:rPr>
        <w:t>21</w:t>
      </w:r>
      <w:r>
        <w:rPr>
          <w:rFonts w:hint="eastAsia" w:ascii="宋体" w:hAnsi="宋体" w:eastAsia="宋体"/>
          <w:b/>
          <w:bCs/>
          <w:color w:val="auto"/>
          <w:sz w:val="24"/>
        </w:rPr>
        <w:t>. 投标文件的修改和撤回</w:t>
      </w:r>
    </w:p>
    <w:p w14:paraId="78B4E1D4">
      <w:pPr>
        <w:adjustRightInd w:val="0"/>
        <w:snapToGrid w:val="0"/>
        <w:spacing w:before="156" w:beforeLines="50" w:line="360" w:lineRule="auto"/>
        <w:ind w:firstLine="420" w:firstLineChars="200"/>
        <w:jc w:val="left"/>
        <w:rPr>
          <w:rFonts w:hint="eastAsia" w:ascii="宋体" w:hAnsi="宋体" w:eastAsia="宋体"/>
          <w:color w:val="auto"/>
          <w:szCs w:val="21"/>
          <w:lang w:eastAsia="zh-CN"/>
        </w:rPr>
      </w:pPr>
      <w:r>
        <w:rPr>
          <w:rFonts w:hint="eastAsia" w:ascii="宋体" w:hAnsi="宋体" w:eastAsia="宋体"/>
          <w:color w:val="auto"/>
          <w:szCs w:val="21"/>
        </w:rPr>
        <w:t>投标人</w:t>
      </w:r>
      <w:r>
        <w:rPr>
          <w:rFonts w:hint="eastAsia" w:ascii="宋体" w:hAnsi="宋体"/>
          <w:color w:val="auto"/>
          <w:szCs w:val="21"/>
          <w:lang w:eastAsia="zh-CN"/>
        </w:rPr>
        <w:t>在递交投标文件后，不可再进行修改和撤回。</w:t>
      </w:r>
    </w:p>
    <w:p w14:paraId="1341A716">
      <w:pPr>
        <w:adjustRightInd w:val="0"/>
        <w:snapToGrid w:val="0"/>
        <w:spacing w:before="156" w:beforeLines="50" w:line="360" w:lineRule="auto"/>
        <w:jc w:val="left"/>
        <w:rPr>
          <w:rFonts w:ascii="宋体" w:hAnsi="宋体" w:eastAsia="宋体" w:cs="Arial"/>
          <w:b/>
          <w:color w:val="auto"/>
          <w:sz w:val="24"/>
        </w:rPr>
      </w:pPr>
      <w:r>
        <w:rPr>
          <w:rFonts w:hint="eastAsia" w:ascii="宋体" w:hAnsi="宋体"/>
          <w:b/>
          <w:bCs/>
          <w:color w:val="auto"/>
          <w:sz w:val="24"/>
          <w:lang w:val="en-US" w:eastAsia="zh-CN"/>
        </w:rPr>
        <w:t>22</w:t>
      </w:r>
      <w:r>
        <w:rPr>
          <w:rFonts w:hint="eastAsia" w:ascii="宋体" w:hAnsi="宋体" w:eastAsia="宋体"/>
          <w:b/>
          <w:bCs/>
          <w:color w:val="auto"/>
          <w:sz w:val="24"/>
        </w:rPr>
        <w:t>.</w:t>
      </w:r>
      <w:r>
        <w:rPr>
          <w:rFonts w:hint="eastAsia" w:ascii="宋体" w:hAnsi="宋体" w:eastAsia="宋体" w:cs="Arial"/>
          <w:b/>
          <w:color w:val="auto"/>
          <w:sz w:val="24"/>
        </w:rPr>
        <w:t xml:space="preserve"> 串通</w:t>
      </w:r>
      <w:r>
        <w:rPr>
          <w:rFonts w:hint="eastAsia" w:ascii="宋体" w:hAnsi="宋体" w:eastAsia="宋体"/>
          <w:b/>
          <w:color w:val="auto"/>
          <w:sz w:val="24"/>
        </w:rPr>
        <w:t>投标行为</w:t>
      </w:r>
    </w:p>
    <w:p w14:paraId="45C44201">
      <w:pPr>
        <w:adjustRightInd w:val="0"/>
        <w:snapToGrid w:val="0"/>
        <w:spacing w:before="156" w:beforeLines="50" w:line="360" w:lineRule="auto"/>
        <w:ind w:firstLine="396" w:firstLineChars="200"/>
        <w:jc w:val="left"/>
        <w:rPr>
          <w:rFonts w:ascii="宋体" w:hAnsi="宋体" w:eastAsia="宋体"/>
          <w:color w:val="auto"/>
          <w:spacing w:val="-6"/>
          <w:szCs w:val="21"/>
        </w:rPr>
      </w:pPr>
      <w:r>
        <w:rPr>
          <w:rFonts w:hint="eastAsia" w:ascii="宋体" w:hAnsi="宋体"/>
          <w:color w:val="auto"/>
          <w:spacing w:val="-6"/>
          <w:szCs w:val="21"/>
          <w:lang w:val="en-US" w:eastAsia="zh-CN"/>
        </w:rPr>
        <w:t>22</w:t>
      </w:r>
      <w:r>
        <w:rPr>
          <w:rFonts w:hint="eastAsia" w:ascii="宋体" w:hAnsi="宋体" w:eastAsia="宋体"/>
          <w:color w:val="auto"/>
          <w:spacing w:val="-6"/>
          <w:szCs w:val="21"/>
        </w:rPr>
        <w:t>.1有下列情形之一的，属于恶意串通，对投标人依照政府采购法第七十七条第一款的规定追究法律责任：</w:t>
      </w:r>
    </w:p>
    <w:p w14:paraId="5D4715C2">
      <w:pPr>
        <w:adjustRightInd w:val="0"/>
        <w:snapToGrid w:val="0"/>
        <w:spacing w:before="156" w:beforeLines="50" w:line="360" w:lineRule="auto"/>
        <w:ind w:firstLine="396" w:firstLineChars="200"/>
        <w:jc w:val="left"/>
        <w:rPr>
          <w:rFonts w:ascii="宋体" w:hAnsi="宋体" w:eastAsia="宋体"/>
          <w:color w:val="auto"/>
          <w:spacing w:val="-6"/>
          <w:szCs w:val="21"/>
        </w:rPr>
      </w:pPr>
      <w:r>
        <w:rPr>
          <w:rFonts w:hint="eastAsia" w:ascii="宋体" w:hAnsi="宋体" w:eastAsia="宋体"/>
          <w:color w:val="auto"/>
          <w:spacing w:val="-6"/>
          <w:szCs w:val="21"/>
        </w:rPr>
        <w:t>（1）投标人直接或者间接从采购人处获得其他投标人的相关情况并修改其投标文件；</w:t>
      </w:r>
    </w:p>
    <w:p w14:paraId="79FA5BB6">
      <w:pPr>
        <w:adjustRightInd w:val="0"/>
        <w:snapToGrid w:val="0"/>
        <w:spacing w:before="156" w:beforeLines="50" w:line="360" w:lineRule="auto"/>
        <w:ind w:firstLine="396" w:firstLineChars="200"/>
        <w:jc w:val="left"/>
        <w:rPr>
          <w:rFonts w:ascii="宋体" w:hAnsi="宋体" w:eastAsia="宋体"/>
          <w:color w:val="auto"/>
          <w:spacing w:val="-6"/>
          <w:szCs w:val="21"/>
        </w:rPr>
      </w:pPr>
      <w:r>
        <w:rPr>
          <w:rFonts w:hint="eastAsia" w:ascii="宋体" w:hAnsi="宋体" w:eastAsia="宋体"/>
          <w:color w:val="auto"/>
          <w:spacing w:val="-6"/>
          <w:szCs w:val="21"/>
        </w:rPr>
        <w:t>（2）投标人按照采购人的授意撤换、修改投标文件；</w:t>
      </w:r>
    </w:p>
    <w:p w14:paraId="76D8316F">
      <w:pPr>
        <w:adjustRightInd w:val="0"/>
        <w:snapToGrid w:val="0"/>
        <w:spacing w:before="156" w:beforeLines="50" w:line="360" w:lineRule="auto"/>
        <w:ind w:firstLine="396" w:firstLineChars="200"/>
        <w:jc w:val="left"/>
        <w:rPr>
          <w:rFonts w:ascii="宋体" w:hAnsi="宋体" w:eastAsia="宋体"/>
          <w:color w:val="auto"/>
          <w:spacing w:val="-6"/>
          <w:szCs w:val="21"/>
        </w:rPr>
      </w:pPr>
      <w:r>
        <w:rPr>
          <w:rFonts w:hint="eastAsia" w:ascii="宋体" w:hAnsi="宋体" w:eastAsia="宋体"/>
          <w:color w:val="auto"/>
          <w:spacing w:val="-6"/>
          <w:szCs w:val="21"/>
        </w:rPr>
        <w:t>（3）投标人之间协商报价、技术方案等投标文件的实质性内容；</w:t>
      </w:r>
    </w:p>
    <w:p w14:paraId="271BEBF8">
      <w:pPr>
        <w:adjustRightInd w:val="0"/>
        <w:snapToGrid w:val="0"/>
        <w:spacing w:before="156" w:beforeLines="50" w:line="360" w:lineRule="auto"/>
        <w:ind w:firstLine="396" w:firstLineChars="200"/>
        <w:jc w:val="left"/>
        <w:rPr>
          <w:rFonts w:ascii="宋体" w:hAnsi="宋体" w:eastAsia="宋体"/>
          <w:color w:val="auto"/>
          <w:spacing w:val="-6"/>
          <w:szCs w:val="21"/>
        </w:rPr>
      </w:pPr>
      <w:r>
        <w:rPr>
          <w:rFonts w:hint="eastAsia" w:ascii="宋体" w:hAnsi="宋体" w:eastAsia="宋体"/>
          <w:color w:val="auto"/>
          <w:spacing w:val="-6"/>
          <w:szCs w:val="21"/>
        </w:rPr>
        <w:t>（4）属于同一集团、协会、商会等组织成员的投标人按照该组织要求协同参加</w:t>
      </w:r>
      <w:r>
        <w:rPr>
          <w:rFonts w:hint="eastAsia" w:ascii="宋体" w:hAnsi="宋体"/>
          <w:color w:val="auto"/>
          <w:spacing w:val="-6"/>
          <w:szCs w:val="21"/>
          <w:lang w:eastAsia="zh-CN"/>
        </w:rPr>
        <w:t>询价比选</w:t>
      </w:r>
      <w:r>
        <w:rPr>
          <w:rFonts w:hint="eastAsia" w:ascii="宋体" w:hAnsi="宋体" w:eastAsia="宋体"/>
          <w:color w:val="auto"/>
          <w:spacing w:val="-6"/>
          <w:szCs w:val="21"/>
        </w:rPr>
        <w:t>活动；</w:t>
      </w:r>
    </w:p>
    <w:p w14:paraId="243104F4">
      <w:pPr>
        <w:adjustRightInd w:val="0"/>
        <w:snapToGrid w:val="0"/>
        <w:spacing w:before="156" w:beforeLines="50" w:line="360" w:lineRule="auto"/>
        <w:ind w:firstLine="396" w:firstLineChars="200"/>
        <w:jc w:val="left"/>
        <w:rPr>
          <w:rFonts w:ascii="宋体" w:hAnsi="宋体" w:eastAsia="宋体"/>
          <w:color w:val="auto"/>
          <w:spacing w:val="-6"/>
          <w:szCs w:val="21"/>
        </w:rPr>
      </w:pPr>
      <w:r>
        <w:rPr>
          <w:rFonts w:hint="eastAsia" w:ascii="宋体" w:hAnsi="宋体" w:eastAsia="宋体"/>
          <w:color w:val="auto"/>
          <w:spacing w:val="-6"/>
          <w:szCs w:val="21"/>
        </w:rPr>
        <w:t>（5）投标人之间事先约定由某一特定投标人中标；</w:t>
      </w:r>
    </w:p>
    <w:p w14:paraId="36D916AB">
      <w:pPr>
        <w:adjustRightInd w:val="0"/>
        <w:snapToGrid w:val="0"/>
        <w:spacing w:before="156" w:beforeLines="50" w:line="360" w:lineRule="auto"/>
        <w:ind w:firstLine="396" w:firstLineChars="200"/>
        <w:jc w:val="left"/>
        <w:rPr>
          <w:rFonts w:ascii="宋体" w:hAnsi="宋体" w:eastAsia="宋体"/>
          <w:color w:val="auto"/>
          <w:spacing w:val="-6"/>
          <w:szCs w:val="21"/>
        </w:rPr>
      </w:pPr>
      <w:r>
        <w:rPr>
          <w:rFonts w:hint="eastAsia" w:ascii="宋体" w:hAnsi="宋体" w:eastAsia="宋体"/>
          <w:color w:val="auto"/>
          <w:spacing w:val="-6"/>
          <w:szCs w:val="21"/>
        </w:rPr>
        <w:t>（6）投标人之间商定部分投标人放弃参加政府采购活动或者放弃中标；</w:t>
      </w:r>
    </w:p>
    <w:p w14:paraId="52CA8201">
      <w:pPr>
        <w:adjustRightInd w:val="0"/>
        <w:snapToGrid w:val="0"/>
        <w:spacing w:before="156" w:beforeLines="50" w:line="360" w:lineRule="auto"/>
        <w:ind w:firstLine="396" w:firstLineChars="200"/>
        <w:jc w:val="left"/>
        <w:rPr>
          <w:rFonts w:ascii="宋体" w:hAnsi="宋体" w:eastAsia="宋体"/>
          <w:color w:val="auto"/>
          <w:spacing w:val="-6"/>
          <w:szCs w:val="21"/>
        </w:rPr>
      </w:pPr>
      <w:r>
        <w:rPr>
          <w:rFonts w:hint="eastAsia" w:ascii="宋体" w:hAnsi="宋体" w:eastAsia="宋体"/>
          <w:color w:val="auto"/>
          <w:spacing w:val="-6"/>
          <w:szCs w:val="21"/>
        </w:rPr>
        <w:t>（7）投标人与采购人之间、投标人相互之间，为谋求特定投标人中标或者排斥其他投标人的其他串通行为。</w:t>
      </w:r>
    </w:p>
    <w:p w14:paraId="50C49460">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22</w:t>
      </w:r>
      <w:r>
        <w:rPr>
          <w:rFonts w:hint="eastAsia" w:ascii="宋体" w:hAnsi="宋体" w:eastAsia="宋体"/>
          <w:color w:val="auto"/>
          <w:szCs w:val="21"/>
        </w:rPr>
        <w:t>.2有下列情形之一的，视为投标人串通投标，其</w:t>
      </w:r>
      <w:r>
        <w:rPr>
          <w:rFonts w:hint="eastAsia" w:ascii="宋体" w:hAnsi="宋体" w:eastAsia="宋体"/>
          <w:b/>
          <w:color w:val="auto"/>
          <w:szCs w:val="21"/>
        </w:rPr>
        <w:t>投标无效</w:t>
      </w:r>
      <w:r>
        <w:rPr>
          <w:rFonts w:hint="eastAsia" w:ascii="宋体" w:hAnsi="宋体" w:eastAsia="宋体"/>
          <w:color w:val="auto"/>
          <w:szCs w:val="21"/>
        </w:rPr>
        <w:t>：</w:t>
      </w:r>
    </w:p>
    <w:p w14:paraId="5F951EE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（1）不同投标人的投标文件由同一单位或者个人编制；</w:t>
      </w:r>
    </w:p>
    <w:p w14:paraId="1B3F023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（2）不同投标人委托同一单位或者个人办理投标事宜；</w:t>
      </w:r>
    </w:p>
    <w:p w14:paraId="3799CE5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（3）不同投标人的投标文件载明的项目管理成员或者联系人员为同一人；</w:t>
      </w:r>
    </w:p>
    <w:p w14:paraId="726C8B62">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（4）不同投标人的投标文件异常一致或者投标报价呈规律性差异；</w:t>
      </w:r>
    </w:p>
    <w:p w14:paraId="7625CF49">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（5）不同投标人的投标文件相互混装；</w:t>
      </w:r>
    </w:p>
    <w:p w14:paraId="2FAE1062">
      <w:pPr>
        <w:pStyle w:val="6"/>
        <w:adjustRightInd w:val="0"/>
        <w:snapToGrid w:val="0"/>
        <w:spacing w:before="156" w:beforeLines="50" w:after="0" w:line="360" w:lineRule="auto"/>
        <w:jc w:val="center"/>
        <w:rPr>
          <w:rFonts w:ascii="黑体" w:hAnsi="黑体" w:eastAsia="黑体"/>
          <w:color w:val="auto"/>
          <w:sz w:val="28"/>
          <w:szCs w:val="28"/>
        </w:rPr>
      </w:pPr>
      <w:bookmarkStart w:id="25" w:name="_Toc8931"/>
      <w:r>
        <w:rPr>
          <w:rFonts w:hint="eastAsia" w:ascii="黑体" w:hAnsi="黑体" w:eastAsia="黑体"/>
          <w:color w:val="auto"/>
          <w:sz w:val="28"/>
          <w:szCs w:val="28"/>
        </w:rPr>
        <w:t>五、开标，资格审查和评标</w:t>
      </w:r>
      <w:bookmarkEnd w:id="25"/>
    </w:p>
    <w:p w14:paraId="021C36F2">
      <w:pPr>
        <w:adjustRightInd w:val="0"/>
        <w:snapToGrid w:val="0"/>
        <w:spacing w:before="156" w:beforeLines="50" w:line="360" w:lineRule="auto"/>
        <w:jc w:val="left"/>
        <w:rPr>
          <w:rFonts w:ascii="宋体" w:hAnsi="宋体" w:eastAsia="宋体"/>
          <w:b/>
          <w:bCs/>
          <w:color w:val="auto"/>
          <w:sz w:val="24"/>
        </w:rPr>
      </w:pPr>
      <w:r>
        <w:rPr>
          <w:rFonts w:hint="eastAsia" w:ascii="宋体" w:hAnsi="宋体"/>
          <w:b/>
          <w:bCs/>
          <w:color w:val="auto"/>
          <w:sz w:val="24"/>
          <w:lang w:val="en-US" w:eastAsia="zh-CN"/>
        </w:rPr>
        <w:t>23</w:t>
      </w:r>
      <w:r>
        <w:rPr>
          <w:rFonts w:hint="eastAsia" w:ascii="宋体" w:hAnsi="宋体" w:eastAsia="宋体"/>
          <w:b/>
          <w:bCs/>
          <w:color w:val="auto"/>
          <w:sz w:val="24"/>
        </w:rPr>
        <w:t>. 开标</w:t>
      </w:r>
    </w:p>
    <w:p w14:paraId="5C72D55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23</w:t>
      </w:r>
      <w:r>
        <w:rPr>
          <w:rFonts w:hint="eastAsia" w:ascii="宋体" w:hAnsi="宋体" w:eastAsia="宋体"/>
          <w:color w:val="auto"/>
          <w:szCs w:val="21"/>
        </w:rPr>
        <w:t>.1采购人在</w:t>
      </w:r>
      <w:r>
        <w:rPr>
          <w:rFonts w:hint="eastAsia" w:ascii="宋体" w:hAnsi="宋体" w:eastAsia="宋体"/>
          <w:b/>
          <w:color w:val="auto"/>
          <w:szCs w:val="21"/>
        </w:rPr>
        <w:t>【投标须知前附表】</w:t>
      </w:r>
      <w:r>
        <w:rPr>
          <w:rFonts w:hint="eastAsia" w:ascii="宋体" w:hAnsi="宋体" w:eastAsia="宋体"/>
          <w:color w:val="auto"/>
          <w:szCs w:val="21"/>
        </w:rPr>
        <w:t>规定的开标地点组织开标，并邀请投标人参加。投标人未参加开标的，视同认可开标结果。</w:t>
      </w:r>
    </w:p>
    <w:p w14:paraId="06437B83">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23</w:t>
      </w:r>
      <w:r>
        <w:rPr>
          <w:rFonts w:hint="eastAsia" w:ascii="宋体" w:hAnsi="宋体" w:eastAsia="宋体"/>
          <w:color w:val="auto"/>
          <w:szCs w:val="21"/>
        </w:rPr>
        <w:t>.2采购人公布投标人名称、投标价格和</w:t>
      </w:r>
      <w:r>
        <w:rPr>
          <w:rFonts w:hint="eastAsia" w:ascii="宋体" w:hAnsi="宋体" w:eastAsia="宋体"/>
          <w:b/>
          <w:color w:val="auto"/>
          <w:szCs w:val="21"/>
        </w:rPr>
        <w:t>【投标须知前附表】</w:t>
      </w:r>
      <w:r>
        <w:rPr>
          <w:rFonts w:hint="eastAsia" w:ascii="宋体" w:hAnsi="宋体" w:eastAsia="宋体"/>
          <w:color w:val="auto"/>
          <w:szCs w:val="21"/>
        </w:rPr>
        <w:t>规定需要宣布的其他内容。投标人不足3家的，不得开标。</w:t>
      </w:r>
    </w:p>
    <w:p w14:paraId="386D47E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23</w:t>
      </w:r>
      <w:r>
        <w:rPr>
          <w:rFonts w:hint="eastAsia" w:ascii="宋体" w:hAnsi="宋体" w:eastAsia="宋体"/>
          <w:color w:val="auto"/>
          <w:szCs w:val="21"/>
        </w:rPr>
        <w:t>.3开标记录由参加开标的各投标人代表和相关工作人员确认后随采购文件一并存档。</w:t>
      </w:r>
    </w:p>
    <w:p w14:paraId="624969A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23</w:t>
      </w:r>
      <w:r>
        <w:rPr>
          <w:rFonts w:hint="eastAsia" w:ascii="宋体" w:hAnsi="宋体" w:eastAsia="宋体"/>
          <w:color w:val="auto"/>
          <w:szCs w:val="21"/>
        </w:rPr>
        <w:t>.4投标人代表对开标过程和开标记录有疑义，以及认为采购人相关工作人员有《政府采购法实施条例》第九条第一款需要回避的情形的，应当场提出询问或者回避申请。</w:t>
      </w:r>
    </w:p>
    <w:p w14:paraId="4579C4D8">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23</w:t>
      </w:r>
      <w:r>
        <w:rPr>
          <w:rFonts w:hint="eastAsia" w:ascii="宋体" w:hAnsi="宋体" w:eastAsia="宋体"/>
          <w:color w:val="auto"/>
          <w:szCs w:val="21"/>
        </w:rPr>
        <w:t>.5采购人对投标人代表当场提出的询问或者回避申请，按《政府采购法实施条例》有关规定及时处理。</w:t>
      </w:r>
    </w:p>
    <w:p w14:paraId="7AE35E90">
      <w:pPr>
        <w:adjustRightInd w:val="0"/>
        <w:snapToGrid w:val="0"/>
        <w:spacing w:before="156" w:beforeLines="50" w:line="360" w:lineRule="auto"/>
        <w:jc w:val="left"/>
        <w:rPr>
          <w:rFonts w:ascii="宋体" w:hAnsi="宋体" w:eastAsia="宋体"/>
          <w:b/>
          <w:color w:val="auto"/>
          <w:sz w:val="24"/>
        </w:rPr>
      </w:pPr>
      <w:r>
        <w:rPr>
          <w:rStyle w:val="28"/>
          <w:rFonts w:hint="eastAsia" w:ascii="宋体" w:hAnsi="宋体" w:cs="Arial"/>
          <w:color w:val="auto"/>
          <w:sz w:val="24"/>
          <w:lang w:val="en-US" w:eastAsia="zh-CN"/>
        </w:rPr>
        <w:t>24</w:t>
      </w:r>
      <w:r>
        <w:rPr>
          <w:rStyle w:val="28"/>
          <w:rFonts w:hint="eastAsia" w:ascii="宋体" w:hAnsi="宋体" w:eastAsia="宋体" w:cs="Arial"/>
          <w:color w:val="auto"/>
          <w:sz w:val="24"/>
        </w:rPr>
        <w:t>.</w:t>
      </w:r>
      <w:r>
        <w:rPr>
          <w:rFonts w:hint="eastAsia" w:ascii="宋体" w:hAnsi="宋体" w:eastAsia="宋体"/>
          <w:b/>
          <w:color w:val="auto"/>
          <w:sz w:val="24"/>
        </w:rPr>
        <w:t xml:space="preserve"> 资格审查</w:t>
      </w:r>
    </w:p>
    <w:p w14:paraId="7C2D34E9">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24</w:t>
      </w:r>
      <w:r>
        <w:rPr>
          <w:rFonts w:hint="eastAsia" w:ascii="宋体" w:hAnsi="宋体" w:eastAsia="宋体"/>
          <w:color w:val="auto"/>
          <w:szCs w:val="21"/>
        </w:rPr>
        <w:t>.1开标结束后，</w:t>
      </w:r>
      <w:r>
        <w:rPr>
          <w:rFonts w:hint="eastAsia" w:ascii="宋体" w:hAnsi="宋体"/>
          <w:color w:val="auto"/>
          <w:szCs w:val="21"/>
          <w:lang w:eastAsia="zh-CN"/>
        </w:rPr>
        <w:t>评标委员会</w:t>
      </w:r>
      <w:r>
        <w:rPr>
          <w:rFonts w:hint="eastAsia" w:ascii="宋体" w:hAnsi="宋体" w:eastAsia="宋体"/>
          <w:color w:val="auto"/>
          <w:szCs w:val="21"/>
        </w:rPr>
        <w:t>依法按照第三章</w:t>
      </w:r>
      <w:r>
        <w:rPr>
          <w:rFonts w:hint="eastAsia" w:ascii="华文宋体" w:hAnsi="华文宋体" w:eastAsia="华文宋体"/>
          <w:color w:val="auto"/>
          <w:szCs w:val="21"/>
        </w:rPr>
        <w:t>“</w:t>
      </w:r>
      <w:r>
        <w:rPr>
          <w:rFonts w:hint="eastAsia" w:ascii="宋体" w:hAnsi="宋体" w:eastAsia="宋体"/>
          <w:color w:val="auto"/>
          <w:szCs w:val="21"/>
        </w:rPr>
        <w:t>资格审查</w:t>
      </w:r>
      <w:r>
        <w:rPr>
          <w:rFonts w:hint="eastAsia" w:ascii="华文宋体" w:hAnsi="华文宋体" w:eastAsia="华文宋体"/>
          <w:color w:val="auto"/>
          <w:szCs w:val="21"/>
        </w:rPr>
        <w:t>”</w:t>
      </w:r>
      <w:r>
        <w:rPr>
          <w:rFonts w:hint="eastAsia" w:ascii="宋体" w:hAnsi="宋体" w:eastAsia="宋体"/>
          <w:color w:val="auto"/>
          <w:szCs w:val="21"/>
        </w:rPr>
        <w:t>规定组织资格审查。</w:t>
      </w:r>
    </w:p>
    <w:p w14:paraId="336B843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24</w:t>
      </w:r>
      <w:r>
        <w:rPr>
          <w:rFonts w:hint="eastAsia" w:ascii="宋体" w:hAnsi="宋体" w:eastAsia="宋体"/>
          <w:color w:val="auto"/>
          <w:szCs w:val="21"/>
        </w:rPr>
        <w:t>.2资格审查结束后，资格审查不合格投标人不进入评标；资格审查合格投标人少于3家的，不得评标。</w:t>
      </w:r>
    </w:p>
    <w:p w14:paraId="4093885A">
      <w:pPr>
        <w:adjustRightInd w:val="0"/>
        <w:snapToGrid w:val="0"/>
        <w:spacing w:before="156" w:beforeLines="50" w:line="360" w:lineRule="auto"/>
        <w:jc w:val="left"/>
        <w:rPr>
          <w:rFonts w:ascii="宋体" w:hAnsi="宋体" w:eastAsia="宋体"/>
          <w:b/>
          <w:color w:val="auto"/>
          <w:sz w:val="24"/>
        </w:rPr>
      </w:pPr>
      <w:r>
        <w:rPr>
          <w:rFonts w:hint="eastAsia" w:ascii="宋体" w:hAnsi="宋体"/>
          <w:b/>
          <w:bCs/>
          <w:color w:val="auto"/>
          <w:sz w:val="24"/>
          <w:lang w:val="en-US" w:eastAsia="zh-CN"/>
        </w:rPr>
        <w:t>25</w:t>
      </w:r>
      <w:r>
        <w:rPr>
          <w:rFonts w:hint="eastAsia" w:ascii="宋体" w:hAnsi="宋体" w:eastAsia="宋体"/>
          <w:b/>
          <w:bCs/>
          <w:color w:val="auto"/>
          <w:sz w:val="24"/>
        </w:rPr>
        <w:t>.</w:t>
      </w:r>
      <w:r>
        <w:rPr>
          <w:rFonts w:hint="eastAsia" w:ascii="宋体" w:hAnsi="宋体" w:eastAsia="宋体"/>
          <w:b/>
          <w:color w:val="auto"/>
          <w:sz w:val="24"/>
        </w:rPr>
        <w:t xml:space="preserve"> 评标委员会</w:t>
      </w:r>
    </w:p>
    <w:p w14:paraId="6E0B5AD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25</w:t>
      </w:r>
      <w:r>
        <w:rPr>
          <w:rFonts w:hint="eastAsia" w:ascii="宋体" w:hAnsi="宋体" w:eastAsia="宋体"/>
          <w:color w:val="auto"/>
          <w:szCs w:val="21"/>
        </w:rPr>
        <w:t>.1评标由评标委员会负责，评标委员会由采购人代表</w:t>
      </w:r>
      <w:r>
        <w:rPr>
          <w:rFonts w:hint="eastAsia" w:ascii="宋体" w:hAnsi="宋体"/>
          <w:color w:val="auto"/>
          <w:szCs w:val="21"/>
          <w:lang w:eastAsia="zh-CN"/>
        </w:rPr>
        <w:t>或</w:t>
      </w:r>
      <w:r>
        <w:rPr>
          <w:rFonts w:hint="eastAsia" w:ascii="宋体" w:hAnsi="宋体" w:eastAsia="宋体"/>
          <w:color w:val="auto"/>
          <w:szCs w:val="21"/>
        </w:rPr>
        <w:t>评审专家组成。</w:t>
      </w:r>
    </w:p>
    <w:p w14:paraId="2BB7EC6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25</w:t>
      </w:r>
      <w:r>
        <w:rPr>
          <w:rFonts w:hint="eastAsia" w:ascii="宋体" w:hAnsi="宋体" w:eastAsia="宋体"/>
          <w:color w:val="auto"/>
          <w:szCs w:val="21"/>
        </w:rPr>
        <w:t>.2评标委员会成员有下列情形之一的，应当回避：</w:t>
      </w:r>
    </w:p>
    <w:p w14:paraId="7A44AF6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（1）参加采购活动前三年内,与投标人存在劳动关系,或者担任过投标人的董事、监事,或者是投标人的控股股东或实际控制人；</w:t>
      </w:r>
    </w:p>
    <w:p w14:paraId="3C13D38C">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（2）与投标人的法定代表人或者负责人有夫妻、直系血亲、三代以内旁系血亲或者近姻亲关系；</w:t>
      </w:r>
    </w:p>
    <w:p w14:paraId="006BDD7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（3）与投标人有其他可能影响政府采购活动公平、公正进行的关系。</w:t>
      </w:r>
    </w:p>
    <w:p w14:paraId="394042C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25</w:t>
      </w:r>
      <w:r>
        <w:rPr>
          <w:rFonts w:hint="eastAsia" w:ascii="宋体" w:hAnsi="宋体" w:eastAsia="宋体"/>
          <w:color w:val="auto"/>
          <w:szCs w:val="21"/>
        </w:rPr>
        <w:t>.3评标委员会负责具体评标事务，并独立履行下列职责：</w:t>
      </w:r>
    </w:p>
    <w:p w14:paraId="4FDCD39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（1）审查、评价投标文件是否符合招标文件的商务、技术等实质性要求；</w:t>
      </w:r>
    </w:p>
    <w:p w14:paraId="79F66E60">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（2）要求投标人对投标文件有关事项作出澄清或者说明；</w:t>
      </w:r>
    </w:p>
    <w:p w14:paraId="602D108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（3）对投标文件进行比较和评价；</w:t>
      </w:r>
    </w:p>
    <w:p w14:paraId="6CA74C8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（4）确定中标候选人名单，</w:t>
      </w:r>
      <w:r>
        <w:rPr>
          <w:color w:val="auto"/>
          <w:szCs w:val="21"/>
        </w:rPr>
        <w:t>推荐不超过</w:t>
      </w:r>
      <w:r>
        <w:rPr>
          <w:rFonts w:hint="eastAsia"/>
          <w:color w:val="auto"/>
          <w:szCs w:val="21"/>
        </w:rPr>
        <w:t>3</w:t>
      </w:r>
      <w:r>
        <w:rPr>
          <w:color w:val="auto"/>
          <w:szCs w:val="21"/>
        </w:rPr>
        <w:t>个有排序的中标候选人</w:t>
      </w:r>
      <w:r>
        <w:rPr>
          <w:rFonts w:hint="eastAsia" w:ascii="宋体" w:hAnsi="宋体" w:eastAsia="宋体"/>
          <w:color w:val="auto"/>
          <w:szCs w:val="21"/>
        </w:rPr>
        <w:t>。</w:t>
      </w:r>
    </w:p>
    <w:p w14:paraId="5EA15C12">
      <w:pPr>
        <w:adjustRightInd w:val="0"/>
        <w:snapToGrid w:val="0"/>
        <w:spacing w:before="156" w:beforeLines="50" w:line="360" w:lineRule="auto"/>
        <w:jc w:val="left"/>
        <w:rPr>
          <w:rFonts w:ascii="宋体" w:hAnsi="宋体" w:eastAsia="宋体"/>
          <w:b/>
          <w:bCs/>
          <w:color w:val="auto"/>
          <w:sz w:val="24"/>
        </w:rPr>
      </w:pPr>
      <w:r>
        <w:rPr>
          <w:rFonts w:hint="eastAsia" w:ascii="宋体" w:hAnsi="宋体"/>
          <w:b/>
          <w:color w:val="auto"/>
          <w:sz w:val="24"/>
          <w:lang w:val="en-US" w:eastAsia="zh-CN"/>
        </w:rPr>
        <w:t>26</w:t>
      </w:r>
      <w:r>
        <w:rPr>
          <w:rFonts w:hint="eastAsia" w:ascii="宋体" w:hAnsi="宋体" w:eastAsia="宋体"/>
          <w:b/>
          <w:color w:val="auto"/>
          <w:sz w:val="24"/>
        </w:rPr>
        <w:t>.</w:t>
      </w:r>
      <w:r>
        <w:rPr>
          <w:rFonts w:hint="eastAsia" w:ascii="宋体" w:hAnsi="宋体" w:eastAsia="宋体"/>
          <w:b/>
          <w:bCs/>
          <w:color w:val="auto"/>
          <w:sz w:val="24"/>
        </w:rPr>
        <w:t xml:space="preserve"> 评标</w:t>
      </w:r>
    </w:p>
    <w:p w14:paraId="26CEBC8E">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color w:val="auto"/>
          <w:lang w:val="en-US" w:eastAsia="zh-CN"/>
        </w:rPr>
        <w:t>26</w:t>
      </w:r>
      <w:r>
        <w:rPr>
          <w:rFonts w:hint="eastAsia" w:ascii="宋体" w:hAnsi="宋体" w:eastAsia="宋体"/>
          <w:color w:val="auto"/>
        </w:rPr>
        <w:t>.1评标委员会按照</w:t>
      </w:r>
      <w:r>
        <w:rPr>
          <w:rFonts w:hint="eastAsia" w:ascii="宋体" w:hAnsi="宋体" w:eastAsia="宋体"/>
          <w:bCs/>
          <w:color w:val="auto"/>
        </w:rPr>
        <w:t>第四章</w:t>
      </w:r>
      <w:r>
        <w:rPr>
          <w:rFonts w:hint="eastAsia" w:ascii="华文宋体" w:hAnsi="华文宋体" w:eastAsia="华文宋体"/>
          <w:bCs/>
          <w:color w:val="auto"/>
        </w:rPr>
        <w:t>“</w:t>
      </w:r>
      <w:r>
        <w:rPr>
          <w:rFonts w:hint="eastAsia" w:ascii="宋体" w:hAnsi="宋体" w:eastAsia="宋体"/>
          <w:bCs/>
          <w:color w:val="auto"/>
        </w:rPr>
        <w:t>评标方法及标准</w:t>
      </w:r>
      <w:r>
        <w:rPr>
          <w:rFonts w:hint="eastAsia" w:ascii="华文宋体" w:hAnsi="华文宋体" w:eastAsia="华文宋体"/>
          <w:bCs/>
          <w:color w:val="auto"/>
        </w:rPr>
        <w:t>”</w:t>
      </w:r>
      <w:r>
        <w:rPr>
          <w:rFonts w:hint="eastAsia" w:ascii="宋体" w:hAnsi="宋体" w:eastAsia="宋体"/>
          <w:color w:val="auto"/>
        </w:rPr>
        <w:t>规定的评标方法、评审因素、标准和程序以及有关法律、法规及规章对投标文件进行评审。</w:t>
      </w:r>
    </w:p>
    <w:p w14:paraId="43F6550F">
      <w:pPr>
        <w:pStyle w:val="6"/>
        <w:adjustRightInd w:val="0"/>
        <w:snapToGrid w:val="0"/>
        <w:spacing w:before="156" w:beforeLines="50" w:after="0" w:line="360" w:lineRule="auto"/>
        <w:jc w:val="center"/>
        <w:rPr>
          <w:rFonts w:ascii="黑体" w:hAnsi="黑体" w:eastAsia="黑体"/>
          <w:color w:val="auto"/>
          <w:sz w:val="28"/>
          <w:szCs w:val="28"/>
        </w:rPr>
      </w:pPr>
      <w:bookmarkStart w:id="26" w:name="_Toc3478"/>
      <w:r>
        <w:rPr>
          <w:rFonts w:hint="eastAsia" w:ascii="黑体" w:hAnsi="黑体" w:eastAsia="黑体"/>
          <w:color w:val="auto"/>
          <w:sz w:val="28"/>
          <w:szCs w:val="28"/>
        </w:rPr>
        <w:t>六、中标信息公布</w:t>
      </w:r>
      <w:bookmarkEnd w:id="26"/>
    </w:p>
    <w:p w14:paraId="499370B7">
      <w:pPr>
        <w:adjustRightInd w:val="0"/>
        <w:snapToGrid w:val="0"/>
        <w:spacing w:before="156" w:beforeLines="50" w:line="360" w:lineRule="auto"/>
        <w:jc w:val="left"/>
        <w:rPr>
          <w:rFonts w:ascii="宋体" w:hAnsi="宋体" w:eastAsia="宋体"/>
          <w:b/>
          <w:bCs/>
          <w:color w:val="auto"/>
          <w:sz w:val="24"/>
        </w:rPr>
      </w:pPr>
      <w:r>
        <w:rPr>
          <w:rFonts w:hint="eastAsia" w:ascii="宋体" w:hAnsi="宋体"/>
          <w:b/>
          <w:color w:val="auto"/>
          <w:sz w:val="24"/>
          <w:lang w:val="en-US" w:eastAsia="zh-CN"/>
        </w:rPr>
        <w:t>27</w:t>
      </w:r>
      <w:r>
        <w:rPr>
          <w:rFonts w:hint="eastAsia" w:ascii="宋体" w:hAnsi="宋体" w:eastAsia="宋体"/>
          <w:b/>
          <w:color w:val="auto"/>
          <w:sz w:val="24"/>
        </w:rPr>
        <w:t>.</w:t>
      </w:r>
      <w:r>
        <w:rPr>
          <w:rFonts w:hint="eastAsia" w:ascii="宋体" w:hAnsi="宋体" w:eastAsia="宋体"/>
          <w:color w:val="auto"/>
          <w:sz w:val="24"/>
        </w:rPr>
        <w:t xml:space="preserve"> </w:t>
      </w:r>
      <w:r>
        <w:rPr>
          <w:rFonts w:hint="eastAsia" w:ascii="宋体" w:hAnsi="宋体" w:eastAsia="宋体"/>
          <w:b/>
          <w:bCs/>
          <w:color w:val="auto"/>
          <w:sz w:val="24"/>
        </w:rPr>
        <w:t>中标通知书与中标信息公布</w:t>
      </w:r>
    </w:p>
    <w:p w14:paraId="6AC00E9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27</w:t>
      </w:r>
      <w:r>
        <w:rPr>
          <w:rFonts w:hint="eastAsia" w:ascii="宋体" w:hAnsi="宋体" w:eastAsia="宋体"/>
          <w:color w:val="auto"/>
          <w:szCs w:val="21"/>
        </w:rPr>
        <w:t>.</w:t>
      </w:r>
      <w:r>
        <w:rPr>
          <w:rFonts w:hint="eastAsia" w:ascii="宋体" w:hAnsi="宋体"/>
          <w:color w:val="auto"/>
          <w:szCs w:val="21"/>
          <w:lang w:val="en-US" w:eastAsia="zh-CN"/>
        </w:rPr>
        <w:t>1</w:t>
      </w:r>
      <w:r>
        <w:rPr>
          <w:rFonts w:hint="eastAsia" w:ascii="宋体" w:hAnsi="宋体" w:eastAsia="宋体"/>
          <w:color w:val="auto"/>
          <w:szCs w:val="21"/>
        </w:rPr>
        <w:t>采购人</w:t>
      </w:r>
      <w:r>
        <w:rPr>
          <w:rFonts w:hint="eastAsia" w:ascii="宋体" w:hAnsi="宋体"/>
          <w:color w:val="auto"/>
          <w:szCs w:val="21"/>
          <w:lang w:eastAsia="zh-CN"/>
        </w:rPr>
        <w:t>根据</w:t>
      </w:r>
      <w:r>
        <w:rPr>
          <w:rFonts w:hint="eastAsia" w:ascii="宋体" w:hAnsi="宋体" w:eastAsia="宋体"/>
          <w:color w:val="auto"/>
          <w:szCs w:val="21"/>
        </w:rPr>
        <w:t>评标报告</w:t>
      </w:r>
      <w:r>
        <w:rPr>
          <w:rFonts w:hint="eastAsia" w:ascii="宋体" w:hAnsi="宋体"/>
          <w:color w:val="auto"/>
          <w:szCs w:val="21"/>
          <w:lang w:eastAsia="zh-CN"/>
        </w:rPr>
        <w:t>中</w:t>
      </w:r>
      <w:r>
        <w:rPr>
          <w:rFonts w:hint="eastAsia" w:ascii="宋体" w:hAnsi="宋体" w:eastAsia="宋体"/>
          <w:color w:val="auto"/>
          <w:szCs w:val="21"/>
        </w:rPr>
        <w:t>确定的中标候选人名单按顺序确定中标人。中标候选人并列的，按照</w:t>
      </w:r>
      <w:r>
        <w:rPr>
          <w:rFonts w:hint="eastAsia" w:ascii="宋体" w:hAnsi="宋体" w:eastAsia="宋体"/>
          <w:b/>
          <w:color w:val="auto"/>
          <w:szCs w:val="21"/>
        </w:rPr>
        <w:t>【投标须知前附表】</w:t>
      </w:r>
      <w:r>
        <w:rPr>
          <w:rFonts w:hint="eastAsia" w:ascii="宋体" w:hAnsi="宋体" w:eastAsia="宋体"/>
          <w:color w:val="auto"/>
          <w:szCs w:val="21"/>
        </w:rPr>
        <w:t>规定的方式确定中标人；招标文件未规定的，采取随机抽取的方式确定。</w:t>
      </w:r>
    </w:p>
    <w:p w14:paraId="21D358B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27</w:t>
      </w:r>
      <w:r>
        <w:rPr>
          <w:rFonts w:hint="eastAsia" w:ascii="宋体" w:hAnsi="宋体" w:eastAsia="宋体"/>
          <w:color w:val="auto"/>
          <w:szCs w:val="21"/>
        </w:rPr>
        <w:t>.</w:t>
      </w:r>
      <w:r>
        <w:rPr>
          <w:rFonts w:hint="eastAsia" w:ascii="宋体" w:hAnsi="宋体"/>
          <w:color w:val="auto"/>
          <w:szCs w:val="21"/>
          <w:lang w:val="en-US" w:eastAsia="zh-CN"/>
        </w:rPr>
        <w:t>2</w:t>
      </w:r>
      <w:r>
        <w:rPr>
          <w:rFonts w:hint="eastAsia" w:ascii="宋体" w:hAnsi="宋体" w:eastAsia="宋体"/>
          <w:color w:val="auto"/>
          <w:szCs w:val="21"/>
        </w:rPr>
        <w:t>采购人</w:t>
      </w:r>
      <w:r>
        <w:rPr>
          <w:rFonts w:hint="eastAsia" w:ascii="宋体" w:hAnsi="宋体"/>
          <w:color w:val="auto"/>
          <w:szCs w:val="21"/>
          <w:lang w:eastAsia="zh-CN"/>
        </w:rPr>
        <w:t>将</w:t>
      </w:r>
      <w:r>
        <w:rPr>
          <w:rFonts w:hint="eastAsia" w:ascii="宋体" w:hAnsi="宋体" w:eastAsia="宋体"/>
          <w:color w:val="auto"/>
          <w:szCs w:val="21"/>
        </w:rPr>
        <w:t>在招标公告指定媒体上公告中标结果，中标结果公告期限为1个工作日。</w:t>
      </w:r>
    </w:p>
    <w:p w14:paraId="4130B807">
      <w:pPr>
        <w:adjustRightInd w:val="0"/>
        <w:snapToGrid w:val="0"/>
        <w:spacing w:before="156" w:beforeLines="50" w:line="360" w:lineRule="auto"/>
        <w:jc w:val="left"/>
        <w:rPr>
          <w:rFonts w:ascii="宋体" w:hAnsi="宋体" w:eastAsia="宋体"/>
          <w:b/>
          <w:bCs/>
          <w:color w:val="auto"/>
          <w:sz w:val="24"/>
        </w:rPr>
      </w:pPr>
      <w:r>
        <w:rPr>
          <w:rFonts w:hint="eastAsia" w:ascii="宋体" w:hAnsi="宋体"/>
          <w:b/>
          <w:bCs/>
          <w:color w:val="auto"/>
          <w:sz w:val="24"/>
          <w:lang w:val="en-US" w:eastAsia="zh-CN"/>
        </w:rPr>
        <w:t>28</w:t>
      </w:r>
      <w:r>
        <w:rPr>
          <w:rFonts w:hint="eastAsia" w:ascii="宋体" w:hAnsi="宋体" w:eastAsia="宋体"/>
          <w:b/>
          <w:bCs/>
          <w:color w:val="auto"/>
          <w:sz w:val="24"/>
        </w:rPr>
        <w:t>.</w:t>
      </w:r>
      <w:r>
        <w:rPr>
          <w:rFonts w:hint="eastAsia" w:ascii="宋体" w:hAnsi="宋体" w:eastAsia="宋体"/>
          <w:b/>
          <w:color w:val="auto"/>
          <w:sz w:val="24"/>
        </w:rPr>
        <w:t xml:space="preserve"> 投标人询问及</w:t>
      </w:r>
      <w:r>
        <w:rPr>
          <w:rFonts w:hint="eastAsia" w:ascii="宋体" w:hAnsi="宋体" w:eastAsia="宋体"/>
          <w:b/>
          <w:bCs/>
          <w:color w:val="auto"/>
          <w:sz w:val="24"/>
        </w:rPr>
        <w:t>质疑</w:t>
      </w:r>
    </w:p>
    <w:p w14:paraId="0094E1E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28</w:t>
      </w:r>
      <w:r>
        <w:rPr>
          <w:rFonts w:hint="eastAsia" w:ascii="宋体" w:hAnsi="宋体" w:eastAsia="宋体"/>
          <w:color w:val="auto"/>
          <w:szCs w:val="21"/>
        </w:rPr>
        <w:t>.1投标人对</w:t>
      </w:r>
      <w:r>
        <w:rPr>
          <w:rFonts w:hint="eastAsia" w:ascii="宋体" w:hAnsi="宋体"/>
          <w:color w:val="auto"/>
          <w:szCs w:val="21"/>
          <w:lang w:eastAsia="zh-CN"/>
        </w:rPr>
        <w:t>询价比选</w:t>
      </w:r>
      <w:r>
        <w:rPr>
          <w:rFonts w:hint="eastAsia" w:ascii="宋体" w:hAnsi="宋体" w:eastAsia="宋体"/>
          <w:color w:val="auto"/>
          <w:szCs w:val="21"/>
        </w:rPr>
        <w:t>活动事项有疑问的，可以</w:t>
      </w:r>
      <w:r>
        <w:rPr>
          <w:rFonts w:hint="eastAsia" w:ascii="宋体" w:hAnsi="宋体"/>
          <w:color w:val="auto"/>
          <w:szCs w:val="21"/>
          <w:lang w:val="en-US" w:eastAsia="zh-CN"/>
        </w:rPr>
        <w:t>电话</w:t>
      </w:r>
      <w:r>
        <w:rPr>
          <w:rFonts w:hint="eastAsia" w:ascii="宋体" w:hAnsi="宋体" w:eastAsia="宋体"/>
          <w:color w:val="auto"/>
          <w:szCs w:val="21"/>
        </w:rPr>
        <w:t>向采购人提出询问。采购人将在</w:t>
      </w:r>
      <w:r>
        <w:rPr>
          <w:rFonts w:hint="eastAsia" w:ascii="宋体" w:hAnsi="宋体"/>
          <w:color w:val="auto"/>
          <w:szCs w:val="21"/>
          <w:lang w:val="en-US" w:eastAsia="zh-CN"/>
        </w:rPr>
        <w:t>1</w:t>
      </w:r>
      <w:r>
        <w:rPr>
          <w:rFonts w:hint="eastAsia" w:ascii="宋体" w:hAnsi="宋体" w:eastAsia="宋体"/>
          <w:color w:val="auto"/>
          <w:szCs w:val="21"/>
        </w:rPr>
        <w:t>个</w:t>
      </w:r>
      <w:r>
        <w:rPr>
          <w:rFonts w:hint="eastAsia" w:ascii="宋体" w:hAnsi="宋体"/>
          <w:color w:val="auto"/>
          <w:szCs w:val="21"/>
          <w:lang w:eastAsia="zh-CN"/>
        </w:rPr>
        <w:t>日历</w:t>
      </w:r>
      <w:r>
        <w:rPr>
          <w:rFonts w:hint="eastAsia" w:ascii="宋体" w:hAnsi="宋体" w:eastAsia="宋体"/>
          <w:color w:val="auto"/>
          <w:szCs w:val="21"/>
        </w:rPr>
        <w:t>日内作出答复。</w:t>
      </w:r>
    </w:p>
    <w:p w14:paraId="4F05CE61">
      <w:pPr>
        <w:adjustRightInd w:val="0"/>
        <w:snapToGrid w:val="0"/>
        <w:spacing w:before="156" w:beforeLines="50" w:line="360" w:lineRule="auto"/>
        <w:ind w:firstLine="420" w:firstLineChars="200"/>
        <w:jc w:val="left"/>
        <w:rPr>
          <w:rFonts w:hint="default" w:ascii="宋体" w:hAnsi="宋体" w:eastAsia="宋体"/>
          <w:color w:val="auto"/>
          <w:szCs w:val="21"/>
          <w:lang w:val="en-US" w:eastAsia="zh-CN"/>
        </w:rPr>
      </w:pPr>
      <w:r>
        <w:rPr>
          <w:rFonts w:hint="eastAsia" w:ascii="宋体" w:hAnsi="宋体"/>
          <w:color w:val="auto"/>
          <w:szCs w:val="21"/>
          <w:lang w:val="en-US" w:eastAsia="zh-CN"/>
        </w:rPr>
        <w:t>28</w:t>
      </w:r>
      <w:r>
        <w:rPr>
          <w:rFonts w:hint="eastAsia" w:ascii="宋体" w:hAnsi="宋体" w:eastAsia="宋体"/>
          <w:color w:val="auto"/>
          <w:szCs w:val="21"/>
        </w:rPr>
        <w:t>.2</w:t>
      </w:r>
      <w:r>
        <w:rPr>
          <w:rFonts w:hint="eastAsia" w:ascii="宋体" w:hAnsi="宋体"/>
          <w:color w:val="auto"/>
          <w:szCs w:val="21"/>
          <w:lang w:eastAsia="zh-CN"/>
        </w:rPr>
        <w:t>开标前或公示期内，</w:t>
      </w:r>
      <w:r>
        <w:rPr>
          <w:rFonts w:hint="eastAsia" w:ascii="宋体" w:hAnsi="宋体" w:eastAsia="宋体"/>
          <w:color w:val="auto"/>
          <w:szCs w:val="21"/>
        </w:rPr>
        <w:t>投标人认为招标文件、采购过程和中标结果使自己的权益受到损害的，可以在知道或者应知其权益受到损害之日起</w:t>
      </w:r>
      <w:r>
        <w:rPr>
          <w:rFonts w:hint="eastAsia" w:ascii="宋体" w:hAnsi="宋体"/>
          <w:color w:val="auto"/>
          <w:szCs w:val="21"/>
          <w:lang w:val="en-US" w:eastAsia="zh-CN"/>
        </w:rPr>
        <w:t>3</w:t>
      </w:r>
      <w:r>
        <w:rPr>
          <w:rFonts w:hint="eastAsia" w:ascii="宋体" w:hAnsi="宋体" w:eastAsia="宋体"/>
          <w:color w:val="auto"/>
          <w:szCs w:val="21"/>
        </w:rPr>
        <w:t>个工作日内，</w:t>
      </w:r>
      <w:r>
        <w:rPr>
          <w:rFonts w:hint="eastAsia" w:ascii="宋体" w:hAnsi="宋体"/>
          <w:color w:val="auto"/>
          <w:szCs w:val="21"/>
          <w:lang w:eastAsia="zh-CN"/>
        </w:rPr>
        <w:t>流程参</w:t>
      </w:r>
      <w:r>
        <w:rPr>
          <w:rFonts w:hint="eastAsia" w:ascii="宋体" w:hAnsi="宋体" w:eastAsia="宋体"/>
          <w:color w:val="auto"/>
          <w:szCs w:val="21"/>
        </w:rPr>
        <w:t>照《湖南省财政厅关于印发＜政府采购质疑答复和投诉处理操作规程＞的通知》(湘财购〔2019〕20号)规定，以纸质书面形式向采购人提出质疑。</w:t>
      </w:r>
      <w:r>
        <w:rPr>
          <w:rFonts w:hint="eastAsia" w:ascii="宋体" w:hAnsi="宋体" w:eastAsia="宋体"/>
          <w:color w:val="auto"/>
          <w:szCs w:val="21"/>
          <w:lang w:val="en-US" w:eastAsia="zh-CN"/>
        </w:rPr>
        <w:t>投标人应当在质疑期内一次性提出针对同一采购程序环节的质疑。</w:t>
      </w:r>
    </w:p>
    <w:p w14:paraId="4ECEDA4C">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28</w:t>
      </w:r>
      <w:r>
        <w:rPr>
          <w:rFonts w:hint="eastAsia" w:ascii="宋体" w:hAnsi="宋体" w:eastAsia="宋体"/>
          <w:color w:val="auto"/>
          <w:szCs w:val="21"/>
        </w:rPr>
        <w:t>.3投标人提出质疑的，应</w:t>
      </w:r>
      <w:r>
        <w:rPr>
          <w:rFonts w:hint="eastAsia" w:ascii="宋体" w:hAnsi="宋体"/>
          <w:color w:val="auto"/>
          <w:szCs w:val="21"/>
          <w:lang w:eastAsia="zh-CN"/>
        </w:rPr>
        <w:t>参</w:t>
      </w:r>
      <w:r>
        <w:rPr>
          <w:rFonts w:hint="eastAsia" w:ascii="宋体" w:hAnsi="宋体" w:eastAsia="宋体"/>
          <w:color w:val="auto"/>
          <w:szCs w:val="21"/>
        </w:rPr>
        <w:t>照《湖南省财政厅关于印发＜政府采购质疑答复和投诉处理操作规程＞的通知》规定制作、签署、送达。采购人接收质疑函的联系部门、联系电话和通讯地址见</w:t>
      </w:r>
      <w:r>
        <w:rPr>
          <w:rFonts w:hint="eastAsia" w:ascii="宋体" w:hAnsi="宋体" w:eastAsia="宋体"/>
          <w:b/>
          <w:color w:val="auto"/>
          <w:szCs w:val="21"/>
        </w:rPr>
        <w:t>【</w:t>
      </w:r>
      <w:r>
        <w:rPr>
          <w:rFonts w:hint="eastAsia" w:ascii="宋体" w:hAnsi="宋体"/>
          <w:b/>
          <w:color w:val="auto"/>
          <w:szCs w:val="21"/>
          <w:lang w:val="en-US" w:eastAsia="zh-CN"/>
        </w:rPr>
        <w:t>投标</w:t>
      </w:r>
      <w:r>
        <w:rPr>
          <w:rFonts w:hint="eastAsia" w:ascii="宋体" w:hAnsi="宋体" w:eastAsia="宋体"/>
          <w:b/>
          <w:color w:val="auto"/>
          <w:szCs w:val="21"/>
        </w:rPr>
        <w:t>须知前附表】</w:t>
      </w:r>
      <w:r>
        <w:rPr>
          <w:rFonts w:hint="eastAsia" w:ascii="宋体" w:hAnsi="宋体" w:eastAsia="宋体"/>
          <w:color w:val="auto"/>
          <w:szCs w:val="21"/>
        </w:rPr>
        <w:t xml:space="preserve">。  </w:t>
      </w:r>
    </w:p>
    <w:p w14:paraId="30A0893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28</w:t>
      </w:r>
      <w:r>
        <w:rPr>
          <w:rFonts w:hint="eastAsia" w:ascii="宋体" w:hAnsi="宋体" w:eastAsia="宋体"/>
          <w:color w:val="auto"/>
          <w:szCs w:val="21"/>
        </w:rPr>
        <w:t>.4采购人按照《湖南省财政厅关于印发＜政府采购质疑答复和投诉处理操作规程＞的通知》规定进行质疑答复。</w:t>
      </w:r>
    </w:p>
    <w:p w14:paraId="099CE508">
      <w:pPr>
        <w:adjustRightInd w:val="0"/>
        <w:snapToGrid w:val="0"/>
        <w:spacing w:before="156" w:beforeLines="50" w:line="360" w:lineRule="auto"/>
        <w:ind w:firstLine="420" w:firstLineChars="200"/>
        <w:jc w:val="left"/>
        <w:rPr>
          <w:rFonts w:ascii="宋体" w:hAnsi="宋体" w:eastAsia="宋体"/>
          <w:b/>
          <w:bCs/>
          <w:color w:val="auto"/>
        </w:rPr>
      </w:pPr>
      <w:r>
        <w:rPr>
          <w:rFonts w:hint="eastAsia" w:ascii="宋体" w:hAnsi="宋体"/>
          <w:color w:val="auto"/>
          <w:szCs w:val="21"/>
          <w:lang w:val="en-US" w:eastAsia="zh-CN"/>
        </w:rPr>
        <w:t>28</w:t>
      </w:r>
      <w:r>
        <w:rPr>
          <w:rFonts w:ascii="宋体" w:hAnsi="宋体" w:eastAsia="宋体"/>
          <w:color w:val="auto"/>
          <w:szCs w:val="21"/>
        </w:rPr>
        <w:t>.</w:t>
      </w:r>
      <w:r>
        <w:rPr>
          <w:rFonts w:hint="eastAsia" w:ascii="宋体" w:hAnsi="宋体" w:eastAsia="宋体"/>
          <w:color w:val="auto"/>
          <w:szCs w:val="21"/>
        </w:rPr>
        <w:t>5投标人对采购人的答复不满意，或采购人未在规定的期限作出答复的，可在答复期满后</w:t>
      </w:r>
      <w:r>
        <w:rPr>
          <w:rFonts w:hint="eastAsia" w:ascii="宋体" w:hAnsi="宋体"/>
          <w:color w:val="auto"/>
          <w:szCs w:val="21"/>
          <w:lang w:val="en-US" w:eastAsia="zh-CN"/>
        </w:rPr>
        <w:t>3</w:t>
      </w:r>
      <w:r>
        <w:rPr>
          <w:rFonts w:hint="eastAsia" w:ascii="宋体" w:hAnsi="宋体" w:eastAsia="宋体"/>
          <w:color w:val="auto"/>
          <w:szCs w:val="21"/>
        </w:rPr>
        <w:t>个工作日内，按照《湖南省财政厅关于印发＜政府采购质疑答复和投诉处理操作规程＞的通知》规定向</w:t>
      </w:r>
      <w:r>
        <w:rPr>
          <w:rFonts w:hint="eastAsia" w:ascii="宋体" w:hAnsi="宋体"/>
          <w:color w:val="auto"/>
          <w:szCs w:val="21"/>
          <w:lang w:val="en-US" w:eastAsia="zh-CN"/>
        </w:rPr>
        <w:t>采购监督部门</w:t>
      </w:r>
      <w:r>
        <w:rPr>
          <w:rFonts w:hint="eastAsia" w:ascii="宋体" w:hAnsi="宋体" w:eastAsia="宋体"/>
          <w:color w:val="auto"/>
          <w:szCs w:val="21"/>
        </w:rPr>
        <w:t>提出投诉。</w:t>
      </w:r>
    </w:p>
    <w:p w14:paraId="0FC8B119">
      <w:pPr>
        <w:pStyle w:val="6"/>
        <w:adjustRightInd w:val="0"/>
        <w:snapToGrid w:val="0"/>
        <w:spacing w:before="156" w:beforeLines="50" w:after="0" w:line="360" w:lineRule="auto"/>
        <w:jc w:val="center"/>
        <w:rPr>
          <w:rFonts w:ascii="黑体" w:hAnsi="黑体" w:eastAsia="黑体"/>
          <w:color w:val="auto"/>
          <w:sz w:val="28"/>
          <w:szCs w:val="28"/>
        </w:rPr>
      </w:pPr>
      <w:bookmarkStart w:id="27" w:name="_Toc24964"/>
      <w:r>
        <w:rPr>
          <w:rFonts w:hint="eastAsia" w:ascii="黑体" w:hAnsi="黑体" w:eastAsia="黑体"/>
          <w:color w:val="auto"/>
          <w:sz w:val="28"/>
          <w:szCs w:val="28"/>
        </w:rPr>
        <w:t>七、合同签订</w:t>
      </w:r>
      <w:bookmarkEnd w:id="27"/>
    </w:p>
    <w:p w14:paraId="50AC4C06">
      <w:pPr>
        <w:adjustRightInd w:val="0"/>
        <w:snapToGrid w:val="0"/>
        <w:spacing w:before="156" w:beforeLines="50" w:line="360" w:lineRule="auto"/>
        <w:jc w:val="left"/>
        <w:rPr>
          <w:rFonts w:ascii="宋体" w:hAnsi="宋体" w:eastAsia="宋体"/>
          <w:b/>
          <w:bCs/>
          <w:color w:val="auto"/>
          <w:sz w:val="24"/>
        </w:rPr>
      </w:pPr>
      <w:r>
        <w:rPr>
          <w:rFonts w:hint="eastAsia" w:ascii="宋体" w:hAnsi="宋体"/>
          <w:b/>
          <w:bCs/>
          <w:color w:val="auto"/>
          <w:sz w:val="24"/>
          <w:lang w:val="en-US" w:eastAsia="zh-CN"/>
        </w:rPr>
        <w:t>29</w:t>
      </w:r>
      <w:r>
        <w:rPr>
          <w:rFonts w:hint="eastAsia" w:ascii="宋体" w:hAnsi="宋体" w:eastAsia="宋体"/>
          <w:b/>
          <w:bCs/>
          <w:color w:val="auto"/>
          <w:sz w:val="24"/>
        </w:rPr>
        <w:t>. 签订合同</w:t>
      </w:r>
    </w:p>
    <w:p w14:paraId="01D27BC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29</w:t>
      </w:r>
      <w:r>
        <w:rPr>
          <w:rFonts w:hint="eastAsia" w:ascii="宋体" w:hAnsi="宋体" w:eastAsia="宋体"/>
          <w:color w:val="auto"/>
          <w:szCs w:val="21"/>
        </w:rPr>
        <w:t>.1采购人应自</w:t>
      </w:r>
      <w:r>
        <w:rPr>
          <w:rFonts w:hint="eastAsia" w:ascii="宋体" w:hAnsi="宋体" w:eastAsia="宋体" w:cs="Times New Roman"/>
          <w:color w:val="auto"/>
          <w:kern w:val="2"/>
          <w:sz w:val="21"/>
          <w:szCs w:val="21"/>
          <w:lang w:val="en-US" w:eastAsia="zh-CN" w:bidi="ar-SA"/>
        </w:rPr>
        <w:t>中标结果公示</w:t>
      </w:r>
      <w:r>
        <w:rPr>
          <w:rFonts w:hint="eastAsia" w:ascii="宋体" w:hAnsi="宋体" w:cs="Times New Roman"/>
          <w:color w:val="auto"/>
          <w:kern w:val="2"/>
          <w:sz w:val="21"/>
          <w:szCs w:val="21"/>
          <w:lang w:val="en-US" w:eastAsia="zh-CN" w:bidi="ar-SA"/>
        </w:rPr>
        <w:t>结束</w:t>
      </w:r>
      <w:r>
        <w:rPr>
          <w:rFonts w:hint="eastAsia" w:ascii="宋体" w:hAnsi="宋体" w:eastAsia="宋体" w:cs="Times New Roman"/>
          <w:color w:val="auto"/>
          <w:kern w:val="2"/>
          <w:sz w:val="21"/>
          <w:szCs w:val="21"/>
          <w:lang w:val="en-US" w:eastAsia="zh-CN" w:bidi="ar-SA"/>
        </w:rPr>
        <w:t>之日起</w:t>
      </w:r>
      <w:r>
        <w:rPr>
          <w:rFonts w:hint="eastAsia" w:ascii="宋体" w:hAnsi="宋体" w:eastAsia="宋体"/>
          <w:color w:val="auto"/>
          <w:szCs w:val="21"/>
        </w:rPr>
        <w:t>30日内与中标人签订合同。所签订的合同不得对招标文件确定的事项和中标人投标文件作实质性修改。</w:t>
      </w:r>
    </w:p>
    <w:p w14:paraId="21DD9C5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val="en-US" w:eastAsia="zh-CN"/>
        </w:rPr>
        <w:t>29</w:t>
      </w:r>
      <w:r>
        <w:rPr>
          <w:rFonts w:hint="eastAsia" w:ascii="宋体" w:hAnsi="宋体" w:eastAsia="宋体"/>
          <w:color w:val="auto"/>
          <w:szCs w:val="21"/>
        </w:rPr>
        <w:t>.2招标文件、中标人的投标文件均为签订合同的依据。</w:t>
      </w:r>
    </w:p>
    <w:p w14:paraId="26C2F3D9">
      <w:pPr>
        <w:adjustRightInd w:val="0"/>
        <w:snapToGrid w:val="0"/>
        <w:spacing w:before="156" w:beforeLines="50" w:line="360" w:lineRule="auto"/>
        <w:ind w:firstLine="420" w:firstLineChars="200"/>
        <w:jc w:val="left"/>
        <w:rPr>
          <w:rFonts w:ascii="宋体" w:hAnsi="宋体" w:eastAsia="宋体" w:cs="微软雅黑"/>
          <w:color w:val="auto"/>
          <w:kern w:val="0"/>
          <w:szCs w:val="21"/>
        </w:rPr>
      </w:pPr>
      <w:r>
        <w:rPr>
          <w:rFonts w:hint="eastAsia" w:ascii="宋体" w:hAnsi="宋体" w:cs="微软雅黑"/>
          <w:color w:val="auto"/>
          <w:kern w:val="0"/>
          <w:szCs w:val="21"/>
          <w:lang w:val="en-US" w:eastAsia="zh-CN"/>
        </w:rPr>
        <w:t>29</w:t>
      </w:r>
      <w:r>
        <w:rPr>
          <w:rFonts w:hint="eastAsia" w:ascii="宋体" w:hAnsi="宋体" w:eastAsia="宋体" w:cs="微软雅黑"/>
          <w:color w:val="auto"/>
          <w:kern w:val="0"/>
          <w:szCs w:val="21"/>
        </w:rPr>
        <w:t>.3联</w:t>
      </w:r>
      <w:r>
        <w:rPr>
          <w:rFonts w:hint="eastAsia" w:ascii="宋体" w:hAnsi="宋体" w:eastAsia="宋体" w:cs="微软雅黑"/>
          <w:color w:val="auto"/>
          <w:spacing w:val="-2"/>
          <w:kern w:val="0"/>
          <w:szCs w:val="21"/>
        </w:rPr>
        <w:t>合</w:t>
      </w:r>
      <w:r>
        <w:rPr>
          <w:rFonts w:hint="eastAsia" w:ascii="宋体" w:hAnsi="宋体" w:eastAsia="宋体" w:cs="微软雅黑"/>
          <w:color w:val="auto"/>
          <w:kern w:val="0"/>
          <w:szCs w:val="21"/>
        </w:rPr>
        <w:t>体</w:t>
      </w:r>
      <w:r>
        <w:rPr>
          <w:rFonts w:hint="eastAsia" w:ascii="宋体" w:hAnsi="宋体" w:eastAsia="宋体" w:cs="微软雅黑"/>
          <w:color w:val="auto"/>
          <w:spacing w:val="-2"/>
          <w:kern w:val="0"/>
          <w:szCs w:val="21"/>
        </w:rPr>
        <w:t>中</w:t>
      </w:r>
      <w:r>
        <w:rPr>
          <w:rFonts w:hint="eastAsia" w:ascii="宋体" w:hAnsi="宋体" w:eastAsia="宋体" w:cs="微软雅黑"/>
          <w:color w:val="auto"/>
          <w:kern w:val="0"/>
          <w:szCs w:val="21"/>
        </w:rPr>
        <w:t>标的</w:t>
      </w:r>
      <w:r>
        <w:rPr>
          <w:rFonts w:hint="eastAsia" w:ascii="宋体" w:hAnsi="宋体" w:eastAsia="宋体" w:cs="微软雅黑"/>
          <w:color w:val="auto"/>
          <w:spacing w:val="-14"/>
          <w:kern w:val="0"/>
          <w:szCs w:val="21"/>
        </w:rPr>
        <w:t>，</w:t>
      </w:r>
      <w:r>
        <w:rPr>
          <w:rFonts w:hint="eastAsia" w:ascii="宋体" w:hAnsi="宋体" w:eastAsia="宋体" w:cs="微软雅黑"/>
          <w:color w:val="auto"/>
          <w:kern w:val="0"/>
          <w:szCs w:val="21"/>
        </w:rPr>
        <w:t>联</w:t>
      </w:r>
      <w:r>
        <w:rPr>
          <w:rFonts w:hint="eastAsia" w:ascii="宋体" w:hAnsi="宋体" w:eastAsia="宋体" w:cs="微软雅黑"/>
          <w:color w:val="auto"/>
          <w:spacing w:val="-2"/>
          <w:kern w:val="0"/>
          <w:szCs w:val="21"/>
        </w:rPr>
        <w:t>合</w:t>
      </w:r>
      <w:r>
        <w:rPr>
          <w:rFonts w:hint="eastAsia" w:ascii="宋体" w:hAnsi="宋体" w:eastAsia="宋体" w:cs="微软雅黑"/>
          <w:color w:val="auto"/>
          <w:kern w:val="0"/>
          <w:szCs w:val="21"/>
        </w:rPr>
        <w:t>体各</w:t>
      </w:r>
      <w:r>
        <w:rPr>
          <w:rFonts w:hint="eastAsia" w:ascii="宋体" w:hAnsi="宋体" w:eastAsia="宋体" w:cs="微软雅黑"/>
          <w:color w:val="auto"/>
          <w:spacing w:val="-2"/>
          <w:kern w:val="0"/>
          <w:szCs w:val="21"/>
        </w:rPr>
        <w:t>方</w:t>
      </w:r>
      <w:r>
        <w:rPr>
          <w:rFonts w:hint="eastAsia" w:ascii="宋体" w:hAnsi="宋体" w:eastAsia="宋体" w:cs="微软雅黑"/>
          <w:color w:val="auto"/>
          <w:kern w:val="0"/>
          <w:szCs w:val="21"/>
        </w:rPr>
        <w:t>应</w:t>
      </w:r>
      <w:r>
        <w:rPr>
          <w:rFonts w:hint="eastAsia" w:ascii="宋体" w:hAnsi="宋体" w:eastAsia="宋体" w:cs="微软雅黑"/>
          <w:color w:val="auto"/>
          <w:spacing w:val="-2"/>
          <w:kern w:val="0"/>
          <w:szCs w:val="21"/>
        </w:rPr>
        <w:t>当</w:t>
      </w:r>
      <w:r>
        <w:rPr>
          <w:rFonts w:hint="eastAsia" w:ascii="宋体" w:hAnsi="宋体" w:eastAsia="宋体" w:cs="微软雅黑"/>
          <w:color w:val="auto"/>
          <w:kern w:val="0"/>
          <w:szCs w:val="21"/>
        </w:rPr>
        <w:t>共</w:t>
      </w:r>
      <w:r>
        <w:rPr>
          <w:rFonts w:hint="eastAsia" w:ascii="宋体" w:hAnsi="宋体" w:eastAsia="宋体" w:cs="微软雅黑"/>
          <w:color w:val="auto"/>
          <w:spacing w:val="-2"/>
          <w:kern w:val="0"/>
          <w:szCs w:val="21"/>
        </w:rPr>
        <w:t>同</w:t>
      </w:r>
      <w:r>
        <w:rPr>
          <w:rFonts w:hint="eastAsia" w:ascii="宋体" w:hAnsi="宋体" w:eastAsia="宋体" w:cs="微软雅黑"/>
          <w:color w:val="auto"/>
          <w:kern w:val="0"/>
          <w:szCs w:val="21"/>
        </w:rPr>
        <w:t>与</w:t>
      </w:r>
      <w:r>
        <w:rPr>
          <w:rFonts w:hint="eastAsia" w:ascii="宋体" w:hAnsi="宋体" w:eastAsia="宋体" w:cs="微软雅黑"/>
          <w:color w:val="auto"/>
          <w:spacing w:val="-2"/>
          <w:kern w:val="0"/>
          <w:szCs w:val="21"/>
        </w:rPr>
        <w:t>采购人</w:t>
      </w:r>
      <w:r>
        <w:rPr>
          <w:rFonts w:hint="eastAsia" w:ascii="宋体" w:hAnsi="宋体" w:eastAsia="宋体" w:cs="微软雅黑"/>
          <w:color w:val="auto"/>
          <w:kern w:val="0"/>
          <w:szCs w:val="21"/>
        </w:rPr>
        <w:t>签订</w:t>
      </w:r>
      <w:r>
        <w:rPr>
          <w:rFonts w:hint="eastAsia" w:ascii="宋体" w:hAnsi="宋体" w:eastAsia="宋体" w:cs="微软雅黑"/>
          <w:color w:val="auto"/>
          <w:spacing w:val="-2"/>
          <w:kern w:val="0"/>
          <w:szCs w:val="21"/>
        </w:rPr>
        <w:t>合</w:t>
      </w:r>
      <w:r>
        <w:rPr>
          <w:rFonts w:hint="eastAsia" w:ascii="宋体" w:hAnsi="宋体" w:eastAsia="宋体" w:cs="微软雅黑"/>
          <w:color w:val="auto"/>
          <w:kern w:val="0"/>
          <w:szCs w:val="21"/>
        </w:rPr>
        <w:t>同</w:t>
      </w:r>
      <w:r>
        <w:rPr>
          <w:rFonts w:hint="eastAsia" w:ascii="宋体" w:hAnsi="宋体" w:eastAsia="宋体" w:cs="微软雅黑"/>
          <w:color w:val="auto"/>
          <w:spacing w:val="-14"/>
          <w:kern w:val="0"/>
          <w:szCs w:val="21"/>
        </w:rPr>
        <w:t>，</w:t>
      </w:r>
      <w:r>
        <w:rPr>
          <w:rFonts w:hint="eastAsia" w:ascii="宋体" w:hAnsi="宋体" w:eastAsia="宋体" w:cs="微软雅黑"/>
          <w:color w:val="auto"/>
          <w:kern w:val="0"/>
          <w:szCs w:val="21"/>
        </w:rPr>
        <w:t>就</w:t>
      </w:r>
      <w:r>
        <w:rPr>
          <w:rFonts w:hint="eastAsia" w:ascii="宋体" w:hAnsi="宋体" w:eastAsia="宋体" w:cs="微软雅黑"/>
          <w:color w:val="auto"/>
          <w:spacing w:val="-2"/>
          <w:kern w:val="0"/>
          <w:szCs w:val="21"/>
        </w:rPr>
        <w:t>中</w:t>
      </w:r>
      <w:r>
        <w:rPr>
          <w:rFonts w:hint="eastAsia" w:ascii="宋体" w:hAnsi="宋体" w:eastAsia="宋体" w:cs="微软雅黑"/>
          <w:color w:val="auto"/>
          <w:kern w:val="0"/>
          <w:szCs w:val="21"/>
        </w:rPr>
        <w:t>标</w:t>
      </w:r>
      <w:r>
        <w:rPr>
          <w:rFonts w:hint="eastAsia" w:ascii="宋体" w:hAnsi="宋体" w:eastAsia="宋体" w:cs="微软雅黑"/>
          <w:color w:val="auto"/>
          <w:spacing w:val="-2"/>
          <w:kern w:val="0"/>
          <w:szCs w:val="21"/>
        </w:rPr>
        <w:t>项</w:t>
      </w:r>
      <w:r>
        <w:rPr>
          <w:rFonts w:hint="eastAsia" w:ascii="宋体" w:hAnsi="宋体" w:eastAsia="宋体" w:cs="微软雅黑"/>
          <w:color w:val="auto"/>
          <w:kern w:val="0"/>
          <w:szCs w:val="21"/>
        </w:rPr>
        <w:t>目</w:t>
      </w:r>
      <w:r>
        <w:rPr>
          <w:rFonts w:hint="eastAsia" w:ascii="宋体" w:hAnsi="宋体" w:eastAsia="宋体" w:cs="微软雅黑"/>
          <w:color w:val="auto"/>
          <w:spacing w:val="-2"/>
          <w:kern w:val="0"/>
          <w:szCs w:val="21"/>
        </w:rPr>
        <w:t>向</w:t>
      </w:r>
      <w:r>
        <w:rPr>
          <w:rFonts w:hint="eastAsia" w:ascii="宋体" w:hAnsi="宋体" w:eastAsia="宋体" w:cs="微软雅黑"/>
          <w:color w:val="auto"/>
          <w:kern w:val="0"/>
          <w:szCs w:val="21"/>
        </w:rPr>
        <w:t>采购人承</w:t>
      </w:r>
      <w:r>
        <w:rPr>
          <w:rFonts w:hint="eastAsia" w:ascii="宋体" w:hAnsi="宋体" w:eastAsia="宋体" w:cs="微软雅黑"/>
          <w:color w:val="auto"/>
          <w:spacing w:val="-2"/>
          <w:kern w:val="0"/>
          <w:szCs w:val="21"/>
        </w:rPr>
        <w:t>担</w:t>
      </w:r>
      <w:r>
        <w:rPr>
          <w:rFonts w:hint="eastAsia" w:ascii="宋体" w:hAnsi="宋体" w:eastAsia="宋体" w:cs="微软雅黑"/>
          <w:color w:val="auto"/>
          <w:kern w:val="0"/>
          <w:szCs w:val="21"/>
        </w:rPr>
        <w:t>连带责</w:t>
      </w:r>
      <w:r>
        <w:rPr>
          <w:rFonts w:hint="eastAsia" w:ascii="宋体" w:hAnsi="宋体" w:eastAsia="宋体" w:cs="微软雅黑"/>
          <w:color w:val="auto"/>
          <w:spacing w:val="-2"/>
          <w:kern w:val="0"/>
          <w:szCs w:val="21"/>
        </w:rPr>
        <w:t>任</w:t>
      </w:r>
      <w:r>
        <w:rPr>
          <w:rFonts w:hint="eastAsia" w:ascii="宋体" w:hAnsi="宋体" w:eastAsia="宋体" w:cs="微软雅黑"/>
          <w:color w:val="auto"/>
          <w:kern w:val="0"/>
          <w:szCs w:val="21"/>
        </w:rPr>
        <w:t>。</w:t>
      </w:r>
    </w:p>
    <w:p w14:paraId="6C7E2FB5">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color w:val="auto"/>
          <w:szCs w:val="21"/>
          <w:lang w:val="en-US" w:eastAsia="zh-CN"/>
        </w:rPr>
        <w:t>29</w:t>
      </w:r>
      <w:r>
        <w:rPr>
          <w:rFonts w:hint="eastAsia" w:ascii="宋体" w:hAnsi="宋体" w:eastAsia="宋体"/>
          <w:color w:val="auto"/>
          <w:szCs w:val="21"/>
        </w:rPr>
        <w:t>.</w:t>
      </w:r>
      <w:r>
        <w:rPr>
          <w:rFonts w:hint="eastAsia" w:ascii="宋体" w:hAnsi="宋体"/>
          <w:color w:val="auto"/>
          <w:szCs w:val="21"/>
          <w:lang w:val="en-US" w:eastAsia="zh-CN"/>
        </w:rPr>
        <w:t>4</w:t>
      </w:r>
      <w:r>
        <w:rPr>
          <w:rFonts w:hint="eastAsia" w:ascii="宋体" w:hAnsi="宋体" w:eastAsia="宋体"/>
          <w:color w:val="auto"/>
          <w:szCs w:val="21"/>
        </w:rPr>
        <w:t>中标人</w:t>
      </w:r>
      <w:r>
        <w:rPr>
          <w:rFonts w:hint="eastAsia" w:ascii="宋体" w:hAnsi="宋体" w:eastAsia="宋体"/>
          <w:bCs/>
          <w:color w:val="auto"/>
          <w:szCs w:val="21"/>
        </w:rPr>
        <w:t>应当按照合同约定依法履行合同义务。合同的履行、违约责任和解决争议的方法等适用《中华人民共和国民法典》。</w:t>
      </w:r>
    </w:p>
    <w:p w14:paraId="088E7F73">
      <w:pPr>
        <w:adjustRightInd w:val="0"/>
        <w:snapToGrid w:val="0"/>
        <w:spacing w:before="156" w:beforeLines="50" w:line="360" w:lineRule="auto"/>
        <w:jc w:val="left"/>
        <w:rPr>
          <w:rFonts w:ascii="宋体" w:hAnsi="宋体" w:eastAsia="宋体"/>
          <w:b/>
          <w:bCs/>
          <w:color w:val="auto"/>
          <w:sz w:val="24"/>
        </w:rPr>
      </w:pPr>
      <w:r>
        <w:rPr>
          <w:rFonts w:hint="eastAsia" w:ascii="宋体" w:hAnsi="宋体"/>
          <w:b/>
          <w:bCs/>
          <w:color w:val="auto"/>
          <w:sz w:val="24"/>
          <w:lang w:eastAsia="zh-CN"/>
        </w:rPr>
        <w:t>30</w:t>
      </w:r>
      <w:r>
        <w:rPr>
          <w:rFonts w:hint="eastAsia" w:ascii="宋体" w:hAnsi="宋体" w:eastAsia="宋体"/>
          <w:b/>
          <w:bCs/>
          <w:color w:val="auto"/>
          <w:sz w:val="24"/>
        </w:rPr>
        <w:t>.</w:t>
      </w:r>
      <w:r>
        <w:rPr>
          <w:rFonts w:hint="eastAsia" w:ascii="宋体" w:hAnsi="宋体" w:eastAsia="宋体"/>
          <w:b/>
          <w:color w:val="auto"/>
          <w:sz w:val="24"/>
        </w:rPr>
        <w:t xml:space="preserve"> 合同履行中</w:t>
      </w:r>
      <w:r>
        <w:rPr>
          <w:rFonts w:hint="eastAsia" w:ascii="宋体" w:hAnsi="宋体" w:eastAsia="宋体"/>
          <w:b/>
          <w:bCs/>
          <w:color w:val="auto"/>
          <w:sz w:val="24"/>
        </w:rPr>
        <w:t>数量的变更</w:t>
      </w:r>
    </w:p>
    <w:p w14:paraId="21DD31D1">
      <w:pPr>
        <w:adjustRightInd w:val="0"/>
        <w:snapToGrid w:val="0"/>
        <w:spacing w:before="156" w:beforeLines="50" w:line="360" w:lineRule="auto"/>
        <w:ind w:firstLine="420" w:firstLineChars="200"/>
        <w:jc w:val="left"/>
        <w:rPr>
          <w:rFonts w:ascii="宋体" w:hAnsi="宋体" w:eastAsia="宋体"/>
          <w:color w:val="auto"/>
          <w:sz w:val="28"/>
          <w:szCs w:val="28"/>
        </w:rPr>
      </w:pPr>
      <w:r>
        <w:rPr>
          <w:rFonts w:hint="eastAsia" w:ascii="宋体" w:hAnsi="宋体"/>
          <w:color w:val="auto"/>
          <w:lang w:val="en-US" w:eastAsia="zh-CN"/>
        </w:rPr>
        <w:t>30</w:t>
      </w:r>
      <w:r>
        <w:rPr>
          <w:rFonts w:hint="eastAsia" w:ascii="宋体" w:hAnsi="宋体" w:eastAsia="宋体"/>
          <w:color w:val="auto"/>
        </w:rPr>
        <w:t>.1合同履行中，采购人需追加与合同标的相同的货物服务的，在不改变合同其他条款的前提下，可以与中标人协商签订补充合同，但所有补充合同的采购金额</w:t>
      </w:r>
      <w:r>
        <w:rPr>
          <w:rFonts w:hint="eastAsia" w:ascii="宋体" w:hAnsi="宋体"/>
          <w:color w:val="auto"/>
          <w:lang w:val="en-US" w:eastAsia="zh-CN"/>
        </w:rPr>
        <w:t>原则上</w:t>
      </w:r>
      <w:r>
        <w:rPr>
          <w:rFonts w:hint="eastAsia" w:ascii="宋体" w:hAnsi="宋体" w:eastAsia="宋体"/>
          <w:color w:val="auto"/>
        </w:rPr>
        <w:t>不得超过原合同采购金额的百分之十。</w:t>
      </w:r>
    </w:p>
    <w:p w14:paraId="080F897D">
      <w:pPr>
        <w:pStyle w:val="6"/>
        <w:adjustRightInd w:val="0"/>
        <w:snapToGrid w:val="0"/>
        <w:spacing w:before="156" w:beforeLines="50" w:after="0" w:line="360" w:lineRule="auto"/>
        <w:jc w:val="center"/>
        <w:rPr>
          <w:rFonts w:ascii="黑体" w:hAnsi="黑体" w:eastAsia="黑体"/>
          <w:color w:val="auto"/>
          <w:sz w:val="28"/>
          <w:szCs w:val="28"/>
        </w:rPr>
      </w:pPr>
      <w:bookmarkStart w:id="28" w:name="_Toc13312"/>
      <w:r>
        <w:rPr>
          <w:rFonts w:hint="eastAsia" w:ascii="黑体" w:hAnsi="黑体" w:eastAsia="黑体"/>
          <w:color w:val="auto"/>
          <w:sz w:val="28"/>
          <w:szCs w:val="28"/>
          <w:lang w:eastAsia="zh-CN"/>
        </w:rPr>
        <w:t>八</w:t>
      </w:r>
      <w:r>
        <w:rPr>
          <w:rFonts w:hint="eastAsia" w:ascii="黑体" w:hAnsi="黑体" w:eastAsia="黑体"/>
          <w:color w:val="auto"/>
          <w:sz w:val="28"/>
          <w:szCs w:val="28"/>
        </w:rPr>
        <w:t>、其他规定</w:t>
      </w:r>
      <w:bookmarkEnd w:id="28"/>
    </w:p>
    <w:p w14:paraId="53B1B683">
      <w:pPr>
        <w:adjustRightInd w:val="0"/>
        <w:snapToGrid w:val="0"/>
        <w:spacing w:before="156" w:beforeLines="50" w:line="360" w:lineRule="auto"/>
        <w:jc w:val="left"/>
        <w:rPr>
          <w:rFonts w:ascii="宋体" w:hAnsi="宋体" w:eastAsia="宋体"/>
          <w:b/>
          <w:color w:val="auto"/>
          <w:sz w:val="24"/>
        </w:rPr>
      </w:pPr>
      <w:r>
        <w:rPr>
          <w:rFonts w:hint="eastAsia" w:ascii="宋体" w:hAnsi="宋体"/>
          <w:b/>
          <w:bCs/>
          <w:color w:val="auto"/>
          <w:sz w:val="24"/>
          <w:lang w:eastAsia="zh-CN"/>
        </w:rPr>
        <w:t>31</w:t>
      </w:r>
      <w:r>
        <w:rPr>
          <w:rFonts w:hint="eastAsia" w:ascii="宋体" w:hAnsi="宋体" w:eastAsia="宋体"/>
          <w:b/>
          <w:bCs/>
          <w:color w:val="auto"/>
          <w:sz w:val="24"/>
        </w:rPr>
        <w:t>.</w:t>
      </w:r>
      <w:r>
        <w:rPr>
          <w:rFonts w:hint="eastAsia" w:ascii="宋体" w:hAnsi="宋体" w:eastAsia="宋体"/>
          <w:color w:val="auto"/>
          <w:sz w:val="24"/>
        </w:rPr>
        <w:t xml:space="preserve"> </w:t>
      </w:r>
      <w:r>
        <w:rPr>
          <w:rFonts w:hint="eastAsia" w:ascii="宋体" w:hAnsi="宋体" w:eastAsia="宋体"/>
          <w:b/>
          <w:color w:val="auto"/>
          <w:sz w:val="24"/>
        </w:rPr>
        <w:t>招标不足三家处理</w:t>
      </w:r>
    </w:p>
    <w:p w14:paraId="15F6136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szCs w:val="21"/>
          <w:lang w:eastAsia="zh-CN"/>
        </w:rPr>
        <w:t>31</w:t>
      </w:r>
      <w:r>
        <w:rPr>
          <w:rFonts w:hint="eastAsia" w:ascii="宋体" w:hAnsi="宋体" w:eastAsia="宋体"/>
          <w:color w:val="auto"/>
          <w:szCs w:val="21"/>
        </w:rPr>
        <w:t>.1投标截止后投标人不足3家或者通过资格审查或符合性审查的投标人不足3家的，除采购任务取消情形外，按照以下方式处理：</w:t>
      </w:r>
    </w:p>
    <w:p w14:paraId="30966FE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（1）招标文件存在不合理条款或者招标程序不符合规定的，采购人改正后依法重新招标；</w:t>
      </w:r>
    </w:p>
    <w:p w14:paraId="62FBCA40">
      <w:pPr>
        <w:pStyle w:val="35"/>
        <w:widowControl w:val="0"/>
        <w:spacing w:line="360" w:lineRule="auto"/>
        <w:ind w:firstLine="420" w:firstLineChars="200"/>
        <w:rPr>
          <w:rFonts w:hint="eastAsia" w:ascii="宋体" w:hAnsi="宋体" w:cs="Times New Roman"/>
          <w:color w:val="auto"/>
          <w:szCs w:val="21"/>
        </w:rPr>
      </w:pPr>
      <w:r>
        <w:rPr>
          <w:rFonts w:hint="eastAsia" w:ascii="宋体" w:hAnsi="宋体" w:eastAsia="宋体"/>
          <w:color w:val="auto"/>
          <w:szCs w:val="21"/>
        </w:rPr>
        <w:t>（2）招标文件没有不合理条款、招标程序符合规定，</w:t>
      </w:r>
      <w:r>
        <w:rPr>
          <w:rFonts w:hint="eastAsia" w:ascii="宋体" w:hAnsi="宋体"/>
          <w:color w:val="auto"/>
          <w:szCs w:val="21"/>
          <w:lang w:eastAsia="zh-CN"/>
        </w:rPr>
        <w:t>则再次组织询价比选活动；</w:t>
      </w:r>
      <w:r>
        <w:rPr>
          <w:rFonts w:hint="eastAsia" w:ascii="宋体" w:hAnsi="宋体" w:eastAsia="宋体"/>
          <w:color w:val="auto"/>
          <w:szCs w:val="21"/>
        </w:rPr>
        <w:t>投标截止后</w:t>
      </w:r>
      <w:r>
        <w:rPr>
          <w:rFonts w:hint="eastAsia" w:ascii="宋体" w:hAnsi="宋体"/>
          <w:color w:val="auto"/>
          <w:szCs w:val="21"/>
          <w:lang w:eastAsia="zh-CN"/>
        </w:rPr>
        <w:t>再次出现</w:t>
      </w:r>
      <w:r>
        <w:rPr>
          <w:rFonts w:hint="eastAsia" w:ascii="宋体" w:hAnsi="宋体" w:eastAsia="宋体"/>
          <w:color w:val="auto"/>
          <w:szCs w:val="21"/>
        </w:rPr>
        <w:t>投标人不足3家或者通过资格审查或符合性审查的投标人不足3家的</w:t>
      </w:r>
      <w:r>
        <w:rPr>
          <w:rFonts w:hint="eastAsia" w:ascii="宋体" w:hAnsi="宋体"/>
          <w:color w:val="auto"/>
          <w:szCs w:val="21"/>
          <w:lang w:eastAsia="zh-CN"/>
        </w:rPr>
        <w:t>，在本次参加询价比选活动中的投标人中择优确定，</w:t>
      </w:r>
      <w:r>
        <w:rPr>
          <w:rFonts w:hint="eastAsia" w:ascii="宋体" w:hAnsi="宋体" w:cs="Times New Roman"/>
          <w:color w:val="auto"/>
          <w:szCs w:val="21"/>
        </w:rPr>
        <w:t>按投标报价由低到高顺序排列；得分且投标报价相同的，按技术服务指标优劣顺序排列</w:t>
      </w:r>
      <w:r>
        <w:rPr>
          <w:rFonts w:hint="eastAsia" w:ascii="宋体" w:hAnsi="宋体" w:cs="Times New Roman"/>
          <w:color w:val="auto"/>
          <w:szCs w:val="21"/>
          <w:lang w:eastAsia="zh-CN"/>
        </w:rPr>
        <w:t>；</w:t>
      </w:r>
      <w:r>
        <w:rPr>
          <w:rFonts w:hint="eastAsia" w:ascii="宋体" w:hAnsi="宋体" w:eastAsia="宋体"/>
          <w:color w:val="auto"/>
          <w:szCs w:val="21"/>
          <w:lang w:eastAsia="zh-CN"/>
        </w:rPr>
        <w:t>以上因素仍相同</w:t>
      </w:r>
      <w:r>
        <w:rPr>
          <w:rFonts w:hint="eastAsia" w:ascii="宋体" w:hAnsi="宋体" w:eastAsia="宋体"/>
          <w:color w:val="auto"/>
          <w:szCs w:val="21"/>
        </w:rPr>
        <w:t>的，采取随机抽取的方式确定</w:t>
      </w:r>
      <w:r>
        <w:rPr>
          <w:rFonts w:hint="eastAsia" w:ascii="宋体" w:hAnsi="宋体" w:cs="Times New Roman"/>
          <w:color w:val="auto"/>
          <w:szCs w:val="21"/>
        </w:rPr>
        <w:t>。</w:t>
      </w:r>
    </w:p>
    <w:p w14:paraId="3A49B920">
      <w:pPr>
        <w:adjustRightInd w:val="0"/>
        <w:snapToGrid w:val="0"/>
        <w:spacing w:before="156" w:beforeLines="50" w:line="360" w:lineRule="auto"/>
        <w:jc w:val="left"/>
        <w:rPr>
          <w:rFonts w:ascii="宋体" w:hAnsi="宋体" w:eastAsia="宋体"/>
          <w:b/>
          <w:color w:val="auto"/>
          <w:sz w:val="24"/>
        </w:rPr>
      </w:pPr>
      <w:r>
        <w:rPr>
          <w:rFonts w:hint="eastAsia" w:ascii="宋体" w:hAnsi="宋体"/>
          <w:b/>
          <w:bCs/>
          <w:color w:val="auto"/>
          <w:sz w:val="24"/>
          <w:lang w:eastAsia="zh-CN"/>
        </w:rPr>
        <w:t>32</w:t>
      </w:r>
      <w:r>
        <w:rPr>
          <w:rFonts w:hint="eastAsia" w:ascii="宋体" w:hAnsi="宋体" w:eastAsia="宋体"/>
          <w:b/>
          <w:bCs/>
          <w:color w:val="auto"/>
          <w:sz w:val="24"/>
        </w:rPr>
        <w:t>.</w:t>
      </w:r>
      <w:r>
        <w:rPr>
          <w:rFonts w:hint="eastAsia" w:ascii="宋体" w:hAnsi="宋体" w:eastAsia="宋体"/>
          <w:b/>
          <w:color w:val="auto"/>
          <w:sz w:val="24"/>
        </w:rPr>
        <w:t xml:space="preserve"> 需要补充的其他内容</w:t>
      </w:r>
    </w:p>
    <w:p w14:paraId="352E6C6F">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color w:val="auto"/>
          <w:lang w:eastAsia="zh-CN"/>
        </w:rPr>
        <w:t>32</w:t>
      </w:r>
      <w:r>
        <w:rPr>
          <w:rFonts w:hint="eastAsia" w:ascii="宋体" w:hAnsi="宋体" w:eastAsia="宋体"/>
          <w:color w:val="auto"/>
        </w:rPr>
        <w:t>.1合同价款支付</w:t>
      </w:r>
    </w:p>
    <w:p w14:paraId="00E35A58">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rPr>
        <w:t>（1）招标文件</w:t>
      </w:r>
      <w:r>
        <w:rPr>
          <w:rFonts w:hint="eastAsia" w:ascii="宋体" w:hAnsi="宋体" w:eastAsia="宋体"/>
          <w:bCs/>
          <w:color w:val="auto"/>
          <w:szCs w:val="21"/>
        </w:rPr>
        <w:t>规定支付合同预付款的，采购人应按</w:t>
      </w:r>
      <w:r>
        <w:rPr>
          <w:rFonts w:hint="eastAsia" w:ascii="宋体" w:hAnsi="宋体" w:eastAsia="宋体"/>
          <w:b/>
          <w:color w:val="auto"/>
          <w:szCs w:val="21"/>
        </w:rPr>
        <w:t>【投标须知前附表】</w:t>
      </w:r>
      <w:r>
        <w:rPr>
          <w:rFonts w:hint="eastAsia" w:ascii="宋体" w:hAnsi="宋体" w:eastAsia="宋体"/>
          <w:bCs/>
          <w:color w:val="auto"/>
          <w:szCs w:val="21"/>
        </w:rPr>
        <w:t>规定的支付比例和支付条件向符合要求的中标供应商及时支付相应款项，并在合同中进行明确。</w:t>
      </w:r>
    </w:p>
    <w:p w14:paraId="628DE054">
      <w:pPr>
        <w:pStyle w:val="32"/>
        <w:spacing w:line="360" w:lineRule="auto"/>
        <w:rPr>
          <w:rFonts w:ascii="宋体" w:hAnsi="宋体" w:eastAsia="宋体"/>
          <w:bCs/>
          <w:color w:val="auto"/>
        </w:rPr>
      </w:pPr>
      <w:r>
        <w:rPr>
          <w:rFonts w:hint="eastAsia" w:ascii="宋体" w:hAnsi="宋体" w:eastAsia="宋体"/>
          <w:color w:val="auto"/>
        </w:rPr>
        <w:t>（2）招标文件</w:t>
      </w:r>
      <w:r>
        <w:rPr>
          <w:rFonts w:hint="eastAsia" w:ascii="宋体" w:hAnsi="宋体" w:eastAsia="宋体"/>
          <w:bCs/>
          <w:color w:val="auto"/>
        </w:rPr>
        <w:t>规定需提交质量保证金的，采购人可以按</w:t>
      </w:r>
      <w:r>
        <w:rPr>
          <w:rFonts w:hint="eastAsia" w:ascii="宋体" w:hAnsi="宋体" w:eastAsia="宋体"/>
          <w:b/>
          <w:color w:val="auto"/>
        </w:rPr>
        <w:t>【投标须知前附表】</w:t>
      </w:r>
      <w:r>
        <w:rPr>
          <w:rFonts w:hint="eastAsia" w:ascii="宋体" w:hAnsi="宋体" w:eastAsia="宋体"/>
          <w:bCs/>
          <w:color w:val="auto"/>
        </w:rPr>
        <w:t>规定要求中标供应商提交质量保证金，并在合同中进行明确。</w:t>
      </w:r>
    </w:p>
    <w:p w14:paraId="7517373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color w:val="auto"/>
          <w:lang w:val="en-US" w:eastAsia="zh-CN"/>
        </w:rPr>
        <w:t>32</w:t>
      </w:r>
      <w:r>
        <w:rPr>
          <w:rFonts w:hint="eastAsia" w:ascii="宋体" w:hAnsi="宋体" w:eastAsia="宋体"/>
          <w:color w:val="auto"/>
        </w:rPr>
        <w:t>.2招标文件需要补充的其</w:t>
      </w:r>
      <w:r>
        <w:rPr>
          <w:rFonts w:hint="eastAsia" w:ascii="宋体" w:hAnsi="宋体" w:eastAsia="宋体"/>
          <w:color w:val="auto"/>
          <w:szCs w:val="21"/>
        </w:rPr>
        <w:t>他内容见</w:t>
      </w:r>
      <w:r>
        <w:rPr>
          <w:rFonts w:hint="eastAsia" w:ascii="宋体" w:hAnsi="宋体" w:eastAsia="宋体"/>
          <w:b/>
          <w:color w:val="auto"/>
          <w:szCs w:val="21"/>
        </w:rPr>
        <w:t>【投标须知前附表】</w:t>
      </w:r>
      <w:r>
        <w:rPr>
          <w:rFonts w:hint="eastAsia" w:ascii="宋体" w:hAnsi="宋体" w:eastAsia="宋体"/>
          <w:color w:val="auto"/>
          <w:szCs w:val="21"/>
        </w:rPr>
        <w:t>。</w:t>
      </w:r>
    </w:p>
    <w:p w14:paraId="477E1C07">
      <w:pPr>
        <w:pStyle w:val="17"/>
        <w:rPr>
          <w:color w:val="auto"/>
        </w:rPr>
      </w:pPr>
      <w:r>
        <w:rPr>
          <w:color w:val="auto"/>
        </w:rPr>
        <w:br w:type="page"/>
      </w:r>
    </w:p>
    <w:p w14:paraId="6C362C3F">
      <w:pPr>
        <w:pStyle w:val="4"/>
        <w:bidi w:val="0"/>
        <w:rPr>
          <w:color w:val="auto"/>
        </w:rPr>
      </w:pPr>
      <w:bookmarkStart w:id="29" w:name="_Toc27780"/>
      <w:bookmarkStart w:id="30" w:name="_Toc14320"/>
      <w:bookmarkStart w:id="31" w:name="_Toc6617"/>
      <w:r>
        <w:rPr>
          <w:rFonts w:hint="eastAsia"/>
          <w:color w:val="auto"/>
        </w:rPr>
        <w:t>第三章 资格审查</w:t>
      </w:r>
      <w:bookmarkEnd w:id="29"/>
      <w:bookmarkEnd w:id="30"/>
      <w:bookmarkEnd w:id="31"/>
    </w:p>
    <w:p w14:paraId="0057BB88">
      <w:pPr>
        <w:pStyle w:val="6"/>
        <w:adjustRightInd w:val="0"/>
        <w:snapToGrid w:val="0"/>
        <w:spacing w:before="156" w:beforeLines="50" w:after="0" w:line="360" w:lineRule="auto"/>
        <w:rPr>
          <w:rFonts w:ascii="黑体" w:hAnsi="黑体" w:eastAsia="黑体"/>
          <w:color w:val="auto"/>
          <w:sz w:val="24"/>
          <w:szCs w:val="24"/>
        </w:rPr>
      </w:pPr>
      <w:bookmarkStart w:id="32" w:name="_Toc4660"/>
      <w:r>
        <w:rPr>
          <w:rFonts w:hint="eastAsia" w:ascii="黑体" w:hAnsi="黑体" w:eastAsia="黑体"/>
          <w:color w:val="auto"/>
          <w:sz w:val="24"/>
          <w:szCs w:val="24"/>
        </w:rPr>
        <w:t>1．资格审查主体</w:t>
      </w:r>
      <w:bookmarkEnd w:id="32"/>
    </w:p>
    <w:p w14:paraId="51C15874">
      <w:pPr>
        <w:adjustRightInd w:val="0"/>
        <w:snapToGrid w:val="0"/>
        <w:spacing w:before="156" w:beforeLines="50" w:line="360" w:lineRule="auto"/>
        <w:ind w:firstLine="417" w:firstLineChars="199"/>
        <w:jc w:val="left"/>
        <w:rPr>
          <w:rFonts w:ascii="宋体" w:hAnsi="宋体" w:eastAsia="宋体"/>
          <w:color w:val="auto"/>
          <w:szCs w:val="21"/>
        </w:rPr>
      </w:pPr>
      <w:r>
        <w:rPr>
          <w:rFonts w:hint="eastAsia" w:ascii="宋体" w:hAnsi="宋体" w:eastAsia="宋体"/>
          <w:color w:val="auto"/>
          <w:szCs w:val="21"/>
        </w:rPr>
        <w:t>1.1资格审查主体：</w:t>
      </w:r>
      <w:r>
        <w:rPr>
          <w:rFonts w:hint="eastAsia" w:ascii="宋体" w:hAnsi="宋体"/>
          <w:color w:val="auto"/>
          <w:szCs w:val="21"/>
          <w:lang w:eastAsia="zh-CN"/>
        </w:rPr>
        <w:t>由评标委员会开标后进行</w:t>
      </w:r>
      <w:r>
        <w:rPr>
          <w:rFonts w:hint="eastAsia" w:ascii="宋体" w:hAnsi="宋体" w:eastAsia="宋体"/>
          <w:color w:val="auto"/>
          <w:szCs w:val="21"/>
        </w:rPr>
        <w:t>资格审查。</w:t>
      </w:r>
    </w:p>
    <w:p w14:paraId="3077A5E8">
      <w:pPr>
        <w:pStyle w:val="6"/>
        <w:adjustRightInd w:val="0"/>
        <w:snapToGrid w:val="0"/>
        <w:spacing w:before="156" w:beforeLines="50" w:after="0" w:line="360" w:lineRule="auto"/>
        <w:rPr>
          <w:rFonts w:ascii="黑体" w:hAnsi="黑体" w:eastAsia="黑体"/>
          <w:color w:val="auto"/>
          <w:sz w:val="24"/>
          <w:szCs w:val="24"/>
        </w:rPr>
      </w:pPr>
      <w:bookmarkStart w:id="33" w:name="_Toc3232"/>
      <w:r>
        <w:rPr>
          <w:rFonts w:hint="eastAsia" w:ascii="黑体" w:hAnsi="黑体" w:eastAsia="黑体"/>
          <w:color w:val="auto"/>
          <w:sz w:val="24"/>
          <w:szCs w:val="24"/>
        </w:rPr>
        <w:t>2．资格审查</w:t>
      </w:r>
      <w:bookmarkEnd w:id="33"/>
    </w:p>
    <w:p w14:paraId="47133D59">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2.1资格审查依据法律法规和招标文件的规定，对投标文件中的资格证明文件</w:t>
      </w:r>
      <w:r>
        <w:rPr>
          <w:rFonts w:hint="eastAsia" w:ascii="宋体" w:hAnsi="宋体"/>
          <w:color w:val="auto"/>
          <w:szCs w:val="21"/>
          <w:lang w:eastAsia="zh-CN"/>
        </w:rPr>
        <w:t>、</w:t>
      </w:r>
      <w:r>
        <w:rPr>
          <w:rFonts w:hint="eastAsia" w:ascii="宋体" w:hAnsi="宋体" w:eastAsia="宋体"/>
          <w:color w:val="auto"/>
          <w:szCs w:val="21"/>
        </w:rPr>
        <w:t>投标报价等进行审查，以确定投标供应商是否具备投标资格。</w:t>
      </w:r>
    </w:p>
    <w:p w14:paraId="333B092B">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2.2按本章附表1“资格审查表”所列审查项目及审查标准，对投标人资格进行审查。</w:t>
      </w:r>
    </w:p>
    <w:p w14:paraId="010711C2">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2.3在资格审查时，投标人存在下列情况之一的，资格审查不合格，其投标无效：</w:t>
      </w:r>
    </w:p>
    <w:p w14:paraId="1825C0A0">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（1）不具备招标文件中规定的资格要求的，或提交的资格证明文件不符合招标文件要求的；</w:t>
      </w:r>
    </w:p>
    <w:p w14:paraId="1C0ED23B">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（2）联合体投标未提交联合体协议书，或未提交联合体各方资格证明文件的；</w:t>
      </w:r>
    </w:p>
    <w:p w14:paraId="0A259A9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（3）投标文件的资格证明文件未按照招标文件要求签署、盖章的；</w:t>
      </w:r>
    </w:p>
    <w:p w14:paraId="36EBF888">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w:t>
      </w:r>
      <w:r>
        <w:rPr>
          <w:rFonts w:hint="eastAsia" w:ascii="宋体" w:hAnsi="宋体"/>
          <w:color w:val="auto"/>
          <w:szCs w:val="21"/>
          <w:lang w:val="en-US" w:eastAsia="zh-CN"/>
        </w:rPr>
        <w:t>4</w:t>
      </w:r>
      <w:r>
        <w:rPr>
          <w:rFonts w:hint="eastAsia" w:ascii="宋体" w:hAnsi="宋体" w:eastAsia="宋体"/>
          <w:color w:val="auto"/>
          <w:szCs w:val="21"/>
        </w:rPr>
        <w:t>）投标报价超过招标文件中规定的预算金额或者最高限价的；</w:t>
      </w:r>
    </w:p>
    <w:p w14:paraId="17842BE0">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w:t>
      </w:r>
      <w:r>
        <w:rPr>
          <w:rFonts w:hint="eastAsia" w:ascii="宋体" w:hAnsi="宋体"/>
          <w:color w:val="auto"/>
          <w:szCs w:val="21"/>
          <w:lang w:val="en-US" w:eastAsia="zh-CN"/>
        </w:rPr>
        <w:t>5</w:t>
      </w:r>
      <w:r>
        <w:rPr>
          <w:rFonts w:hint="eastAsia" w:ascii="宋体" w:hAnsi="宋体" w:eastAsia="宋体"/>
          <w:color w:val="auto"/>
          <w:szCs w:val="21"/>
        </w:rPr>
        <w:t>）法律、法规和招标文件规定的其他投标无效情形的。</w:t>
      </w:r>
    </w:p>
    <w:p w14:paraId="1E62F377">
      <w:pPr>
        <w:pStyle w:val="6"/>
        <w:adjustRightInd w:val="0"/>
        <w:snapToGrid w:val="0"/>
        <w:spacing w:before="156" w:beforeLines="50" w:after="0" w:line="360" w:lineRule="auto"/>
        <w:rPr>
          <w:rFonts w:ascii="黑体" w:hAnsi="黑体" w:eastAsia="黑体"/>
          <w:color w:val="auto"/>
          <w:sz w:val="24"/>
          <w:szCs w:val="24"/>
        </w:rPr>
      </w:pPr>
      <w:bookmarkStart w:id="34" w:name="_Toc7157"/>
      <w:r>
        <w:rPr>
          <w:rFonts w:hint="eastAsia" w:ascii="黑体" w:hAnsi="黑体" w:eastAsia="黑体"/>
          <w:color w:val="auto"/>
          <w:sz w:val="24"/>
          <w:szCs w:val="24"/>
        </w:rPr>
        <w:t>3．资格审查结果</w:t>
      </w:r>
      <w:bookmarkEnd w:id="34"/>
    </w:p>
    <w:p w14:paraId="4ADF291C">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3.1未通过资格审查的投标人，</w:t>
      </w:r>
      <w:r>
        <w:rPr>
          <w:rFonts w:hint="eastAsia"/>
          <w:color w:val="auto"/>
          <w:lang w:val="en-US" w:eastAsia="zh-CN"/>
        </w:rPr>
        <w:t>将与</w:t>
      </w:r>
      <w:r>
        <w:rPr>
          <w:rFonts w:hint="eastAsia"/>
          <w:color w:val="auto"/>
          <w:lang w:eastAsia="zh-CN"/>
        </w:rPr>
        <w:t>比选结果等信息在招标公告发布的同一媒介公示</w:t>
      </w:r>
      <w:r>
        <w:rPr>
          <w:rFonts w:hint="eastAsia"/>
          <w:color w:val="auto"/>
          <w:lang w:val="en-US" w:eastAsia="zh-CN"/>
        </w:rPr>
        <w:t>1个工作日</w:t>
      </w:r>
      <w:r>
        <w:rPr>
          <w:color w:val="auto"/>
        </w:rPr>
        <w:t>。</w:t>
      </w:r>
    </w:p>
    <w:p w14:paraId="5F844D6B">
      <w:pPr>
        <w:adjustRightInd w:val="0"/>
        <w:snapToGrid w:val="0"/>
        <w:spacing w:before="156" w:beforeLines="50" w:line="360" w:lineRule="auto"/>
        <w:ind w:firstLine="420" w:firstLineChars="200"/>
        <w:jc w:val="left"/>
        <w:rPr>
          <w:rFonts w:ascii="宋体" w:hAnsi="宋体" w:eastAsia="宋体"/>
          <w:color w:val="auto"/>
          <w:szCs w:val="21"/>
        </w:rPr>
      </w:pPr>
    </w:p>
    <w:p w14:paraId="0F44A430">
      <w:pPr>
        <w:adjustRightInd w:val="0"/>
        <w:snapToGrid w:val="0"/>
        <w:spacing w:before="156" w:beforeLines="50" w:line="360" w:lineRule="auto"/>
        <w:jc w:val="left"/>
        <w:rPr>
          <w:rFonts w:ascii="华文中宋" w:hAnsi="华文中宋" w:eastAsia="华文中宋"/>
          <w:b/>
          <w:bCs/>
          <w:color w:val="auto"/>
          <w:sz w:val="10"/>
          <w:szCs w:val="10"/>
        </w:rPr>
      </w:pPr>
      <w:r>
        <w:rPr>
          <w:rFonts w:ascii="华文中宋" w:hAnsi="华文中宋" w:eastAsia="华文中宋"/>
          <w:color w:val="auto"/>
        </w:rPr>
        <w:br w:type="page"/>
      </w:r>
    </w:p>
    <w:p w14:paraId="7DD4F3F4">
      <w:pPr>
        <w:pStyle w:val="7"/>
        <w:adjustRightInd w:val="0"/>
        <w:snapToGrid w:val="0"/>
        <w:spacing w:before="0" w:after="0" w:line="360" w:lineRule="auto"/>
        <w:rPr>
          <w:rFonts w:hint="eastAsia" w:ascii="黑体" w:hAnsi="黑体" w:eastAsia="黑体" w:cs="黑体"/>
          <w:b w:val="0"/>
          <w:bCs w:val="0"/>
          <w:color w:val="auto"/>
          <w:sz w:val="21"/>
          <w:szCs w:val="21"/>
        </w:rPr>
      </w:pPr>
      <w:bookmarkStart w:id="35" w:name="_Toc14281"/>
      <w:r>
        <w:rPr>
          <w:rFonts w:hint="eastAsia" w:ascii="黑体" w:hAnsi="黑体" w:eastAsia="黑体" w:cs="黑体"/>
          <w:b w:val="0"/>
          <w:bCs w:val="0"/>
          <w:color w:val="auto"/>
          <w:sz w:val="21"/>
          <w:szCs w:val="21"/>
        </w:rPr>
        <w:t>附表1资格审查表</w:t>
      </w:r>
      <w:bookmarkEnd w:id="35"/>
    </w:p>
    <w:p w14:paraId="0D0D9E2D">
      <w:pPr>
        <w:adjustRightInd w:val="0"/>
        <w:snapToGrid w:val="0"/>
        <w:spacing w:line="360" w:lineRule="auto"/>
        <w:jc w:val="center"/>
        <w:rPr>
          <w:rFonts w:ascii="黑体" w:hAnsi="黑体" w:eastAsia="黑体"/>
          <w:b/>
          <w:color w:val="auto"/>
          <w:sz w:val="28"/>
          <w:szCs w:val="28"/>
        </w:rPr>
      </w:pPr>
      <w:r>
        <w:rPr>
          <w:rFonts w:ascii="黑体" w:hAnsi="黑体" w:eastAsia="黑体"/>
          <w:b/>
          <w:color w:val="auto"/>
          <w:sz w:val="28"/>
          <w:szCs w:val="28"/>
        </w:rPr>
        <w:t>资格审查表</w:t>
      </w:r>
    </w:p>
    <w:p w14:paraId="662AB171">
      <w:pPr>
        <w:pStyle w:val="24"/>
        <w:rPr>
          <w:color w:val="auto"/>
        </w:rPr>
      </w:pPr>
    </w:p>
    <w:p w14:paraId="66116C10">
      <w:pPr>
        <w:adjustRightInd w:val="0"/>
        <w:snapToGrid w:val="0"/>
        <w:spacing w:line="360" w:lineRule="auto"/>
        <w:rPr>
          <w:rFonts w:hint="default" w:eastAsia="宋体"/>
          <w:color w:val="auto"/>
          <w:u w:val="none"/>
          <w:lang w:val="en-US" w:eastAsia="zh-CN"/>
        </w:rPr>
      </w:pPr>
      <w:r>
        <w:rPr>
          <w:rFonts w:hint="eastAsia" w:ascii="宋体" w:hAnsi="宋体" w:eastAsia="宋体"/>
          <w:color w:val="auto"/>
          <w:szCs w:val="21"/>
        </w:rPr>
        <w:t xml:space="preserve">  </w:t>
      </w:r>
      <w:r>
        <w:rPr>
          <w:rFonts w:hint="eastAsia" w:ascii="宋体" w:hAnsi="宋体" w:eastAsia="宋体" w:cs="Times New Roman"/>
          <w:color w:val="auto"/>
          <w:kern w:val="2"/>
          <w:sz w:val="21"/>
          <w:szCs w:val="21"/>
          <w:lang w:val="en-US" w:eastAsia="zh-CN" w:bidi="ar-SA"/>
        </w:rPr>
        <w:t xml:space="preserve">项目名称： </w:t>
      </w:r>
      <w:r>
        <w:rPr>
          <w:rFonts w:hint="eastAsia" w:ascii="宋体" w:hAnsi="宋体" w:eastAsia="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s="Times New Roman"/>
          <w:color w:val="auto"/>
          <w:kern w:val="2"/>
          <w:sz w:val="21"/>
          <w:szCs w:val="21"/>
          <w:lang w:val="en-US" w:eastAsia="zh-CN" w:bidi="ar-SA"/>
        </w:rPr>
        <w:t xml:space="preserve"> </w:t>
      </w:r>
      <w:r>
        <w:rPr>
          <w:rFonts w:hint="eastAsia" w:ascii="宋体" w:hAnsi="宋体"/>
          <w:color w:val="auto"/>
          <w:szCs w:val="21"/>
          <w:u w:val="none"/>
          <w:lang w:val="en-US" w:eastAsia="zh-CN"/>
        </w:rPr>
        <w:t xml:space="preserve"> </w:t>
      </w:r>
      <w:r>
        <w:rPr>
          <w:rFonts w:hint="eastAsia" w:ascii="宋体" w:hAnsi="宋体" w:eastAsia="宋体"/>
          <w:color w:val="auto"/>
          <w:szCs w:val="21"/>
        </w:rPr>
        <w:t xml:space="preserve">                                 </w:t>
      </w:r>
    </w:p>
    <w:tbl>
      <w:tblPr>
        <w:tblStyle w:val="2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5506"/>
        <w:gridCol w:w="2871"/>
      </w:tblGrid>
      <w:tr w14:paraId="30375D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0"/>
            <w:vAlign w:val="center"/>
          </w:tcPr>
          <w:p w14:paraId="7A59652B">
            <w:pPr>
              <w:adjustRightInd w:val="0"/>
              <w:snapToGrid w:val="0"/>
              <w:spacing w:before="156" w:beforeLines="50"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5506" w:type="dxa"/>
            <w:noWrap w:val="0"/>
            <w:vAlign w:val="center"/>
          </w:tcPr>
          <w:p w14:paraId="0859411E">
            <w:pPr>
              <w:adjustRightInd w:val="0"/>
              <w:snapToGrid w:val="0"/>
              <w:spacing w:before="156" w:beforeLines="50"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审查项目</w:t>
            </w:r>
          </w:p>
        </w:tc>
        <w:tc>
          <w:tcPr>
            <w:tcW w:w="2871" w:type="dxa"/>
            <w:noWrap w:val="0"/>
            <w:vAlign w:val="center"/>
          </w:tcPr>
          <w:p w14:paraId="76EB2E47">
            <w:pPr>
              <w:adjustRightInd w:val="0"/>
              <w:snapToGrid w:val="0"/>
              <w:spacing w:before="156" w:beforeLines="50"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审查标准</w:t>
            </w:r>
          </w:p>
        </w:tc>
      </w:tr>
      <w:tr w14:paraId="3D0DE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655F1597">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5506" w:type="dxa"/>
            <w:noWrap w:val="0"/>
            <w:vAlign w:val="top"/>
          </w:tcPr>
          <w:p w14:paraId="0252D922">
            <w:pPr>
              <w:tabs>
                <w:tab w:val="left" w:pos="4725"/>
              </w:tabs>
              <w:adjustRightInd w:val="0"/>
              <w:snapToGrid w:val="0"/>
              <w:spacing w:before="156" w:beforeLines="50" w:line="360" w:lineRule="auto"/>
              <w:jc w:val="left"/>
              <w:rPr>
                <w:rFonts w:ascii="宋体" w:hAnsi="宋体" w:eastAsia="宋体" w:cs="宋体"/>
                <w:color w:val="auto"/>
                <w:kern w:val="0"/>
                <w:szCs w:val="21"/>
              </w:rPr>
            </w:pPr>
            <w:r>
              <w:rPr>
                <w:rFonts w:hint="eastAsia" w:ascii="宋体" w:hAnsi="宋体" w:eastAsia="宋体"/>
                <w:color w:val="auto"/>
                <w:szCs w:val="21"/>
              </w:rPr>
              <w:t>法人或者其他组织的营业执照等主体资格证明文件，自然人的身份证明</w:t>
            </w:r>
          </w:p>
        </w:tc>
        <w:tc>
          <w:tcPr>
            <w:tcW w:w="2871" w:type="dxa"/>
            <w:noWrap w:val="0"/>
            <w:vAlign w:val="center"/>
          </w:tcPr>
          <w:p w14:paraId="3159D5AF">
            <w:pPr>
              <w:adjustRightInd w:val="0"/>
              <w:snapToGrid w:val="0"/>
              <w:spacing w:before="156" w:beforeLines="50"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合格/不合格</w:t>
            </w:r>
          </w:p>
        </w:tc>
      </w:tr>
      <w:tr w14:paraId="08BD3A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1579030B">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5506" w:type="dxa"/>
            <w:noWrap w:val="0"/>
            <w:vAlign w:val="top"/>
          </w:tcPr>
          <w:p w14:paraId="4EF66F99">
            <w:pPr>
              <w:tabs>
                <w:tab w:val="left" w:pos="4725"/>
              </w:tabs>
              <w:adjustRightInd w:val="0"/>
              <w:snapToGrid w:val="0"/>
              <w:spacing w:before="156" w:beforeLines="50" w:line="360" w:lineRule="auto"/>
              <w:jc w:val="left"/>
              <w:rPr>
                <w:rFonts w:ascii="宋体" w:hAnsi="宋体" w:eastAsia="宋体" w:cs="宋体"/>
                <w:color w:val="auto"/>
                <w:kern w:val="0"/>
                <w:szCs w:val="21"/>
              </w:rPr>
            </w:pPr>
            <w:r>
              <w:rPr>
                <w:rFonts w:hint="eastAsia" w:ascii="宋体" w:hAnsi="宋体" w:eastAsia="宋体"/>
                <w:color w:val="auto"/>
                <w:szCs w:val="21"/>
              </w:rPr>
              <w:t>湖南省政府采购供应商资格承诺函(格式)</w:t>
            </w:r>
          </w:p>
        </w:tc>
        <w:tc>
          <w:tcPr>
            <w:tcW w:w="2871" w:type="dxa"/>
            <w:noWrap w:val="0"/>
            <w:vAlign w:val="center"/>
          </w:tcPr>
          <w:p w14:paraId="7349C7E0">
            <w:pPr>
              <w:adjustRightInd w:val="0"/>
              <w:snapToGrid w:val="0"/>
              <w:spacing w:before="156" w:beforeLines="50"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合格/不合格</w:t>
            </w:r>
          </w:p>
        </w:tc>
      </w:tr>
      <w:tr w14:paraId="013A6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60933AB6">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5506" w:type="dxa"/>
            <w:noWrap w:val="0"/>
            <w:vAlign w:val="top"/>
          </w:tcPr>
          <w:p w14:paraId="79C45992">
            <w:pPr>
              <w:tabs>
                <w:tab w:val="left" w:pos="4725"/>
              </w:tabs>
              <w:adjustRightInd w:val="0"/>
              <w:snapToGrid w:val="0"/>
              <w:spacing w:before="156" w:beforeLines="50" w:line="360" w:lineRule="auto"/>
              <w:jc w:val="left"/>
              <w:rPr>
                <w:rFonts w:ascii="宋体" w:hAnsi="宋体" w:eastAsia="宋体" w:cs="宋体"/>
                <w:color w:val="auto"/>
                <w:kern w:val="0"/>
                <w:szCs w:val="21"/>
              </w:rPr>
            </w:pPr>
            <w:r>
              <w:rPr>
                <w:rFonts w:hint="eastAsia" w:ascii="宋体" w:hAnsi="宋体" w:eastAsia="宋体"/>
                <w:color w:val="auto"/>
                <w:szCs w:val="21"/>
              </w:rPr>
              <w:t>符合特定资格条件证明材料复印件或者情况说明</w:t>
            </w:r>
          </w:p>
        </w:tc>
        <w:tc>
          <w:tcPr>
            <w:tcW w:w="2871" w:type="dxa"/>
            <w:noWrap w:val="0"/>
            <w:vAlign w:val="center"/>
          </w:tcPr>
          <w:p w14:paraId="16223A26">
            <w:pPr>
              <w:adjustRightInd w:val="0"/>
              <w:snapToGrid w:val="0"/>
              <w:spacing w:before="156" w:beforeLines="50"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合格/不合格</w:t>
            </w:r>
          </w:p>
        </w:tc>
      </w:tr>
      <w:tr w14:paraId="15B0F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4C560956">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5506" w:type="dxa"/>
            <w:noWrap w:val="0"/>
            <w:vAlign w:val="top"/>
          </w:tcPr>
          <w:p w14:paraId="35FE28D8">
            <w:pPr>
              <w:adjustRightInd w:val="0"/>
              <w:snapToGrid w:val="0"/>
              <w:spacing w:before="156" w:beforeLines="50" w:line="360" w:lineRule="auto"/>
              <w:jc w:val="left"/>
              <w:rPr>
                <w:rFonts w:ascii="宋体" w:hAnsi="宋体" w:eastAsia="宋体" w:cs="宋体"/>
                <w:color w:val="auto"/>
                <w:kern w:val="0"/>
                <w:szCs w:val="21"/>
              </w:rPr>
            </w:pPr>
            <w:r>
              <w:rPr>
                <w:rFonts w:hint="eastAsia" w:ascii="宋体" w:hAnsi="宋体" w:eastAsia="宋体"/>
                <w:color w:val="auto"/>
                <w:szCs w:val="21"/>
              </w:rPr>
              <w:t>联合体协议书（格式）（联合体形式投标的提供）</w:t>
            </w:r>
          </w:p>
        </w:tc>
        <w:tc>
          <w:tcPr>
            <w:tcW w:w="2871" w:type="dxa"/>
            <w:noWrap w:val="0"/>
            <w:vAlign w:val="center"/>
          </w:tcPr>
          <w:p w14:paraId="1CB059A4">
            <w:pPr>
              <w:adjustRightInd w:val="0"/>
              <w:snapToGrid w:val="0"/>
              <w:spacing w:before="156" w:beforeLines="50"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合格/不合格</w:t>
            </w:r>
          </w:p>
        </w:tc>
      </w:tr>
      <w:tr w14:paraId="48517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20758786">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5506" w:type="dxa"/>
            <w:noWrap w:val="0"/>
            <w:tcMar>
              <w:top w:w="0" w:type="dxa"/>
              <w:left w:w="0" w:type="dxa"/>
              <w:bottom w:w="0" w:type="dxa"/>
              <w:right w:w="0" w:type="dxa"/>
            </w:tcMar>
            <w:vAlign w:val="top"/>
          </w:tcPr>
          <w:p w14:paraId="0680EEE1">
            <w:pPr>
              <w:adjustRightInd w:val="0"/>
              <w:snapToGrid w:val="0"/>
              <w:spacing w:before="156" w:beforeLines="50" w:line="360" w:lineRule="auto"/>
              <w:jc w:val="left"/>
              <w:rPr>
                <w:rFonts w:ascii="宋体" w:hAnsi="宋体" w:eastAsia="宋体" w:cs="宋体"/>
                <w:color w:val="auto"/>
                <w:kern w:val="0"/>
                <w:szCs w:val="21"/>
              </w:rPr>
            </w:pPr>
            <w:r>
              <w:rPr>
                <w:rFonts w:hint="eastAsia" w:ascii="宋体" w:hAnsi="宋体" w:eastAsia="宋体"/>
                <w:color w:val="auto"/>
                <w:szCs w:val="21"/>
              </w:rPr>
              <w:t>投标报价超过招标文件中规定的预算金额或者最高限价的</w:t>
            </w:r>
          </w:p>
        </w:tc>
        <w:tc>
          <w:tcPr>
            <w:tcW w:w="2871" w:type="dxa"/>
            <w:noWrap w:val="0"/>
            <w:vAlign w:val="center"/>
          </w:tcPr>
          <w:p w14:paraId="13A6AD40">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cs="宋体"/>
                <w:color w:val="auto"/>
                <w:kern w:val="0"/>
                <w:szCs w:val="21"/>
                <w:lang w:val="en-US" w:eastAsia="zh-CN"/>
              </w:rPr>
              <w:t>合格/不合格</w:t>
            </w:r>
          </w:p>
        </w:tc>
      </w:tr>
      <w:tr w14:paraId="204B0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7977E35">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5506" w:type="dxa"/>
            <w:noWrap w:val="0"/>
            <w:vAlign w:val="top"/>
          </w:tcPr>
          <w:p w14:paraId="2CDBBABB">
            <w:pPr>
              <w:adjustRightInd w:val="0"/>
              <w:snapToGrid w:val="0"/>
              <w:spacing w:before="156" w:beforeLines="50" w:line="360" w:lineRule="auto"/>
              <w:jc w:val="left"/>
              <w:rPr>
                <w:rFonts w:ascii="宋体" w:hAnsi="宋体" w:eastAsia="宋体" w:cs="宋体"/>
                <w:color w:val="auto"/>
                <w:kern w:val="0"/>
                <w:szCs w:val="21"/>
              </w:rPr>
            </w:pPr>
            <w:r>
              <w:rPr>
                <w:rFonts w:hint="eastAsia" w:ascii="宋体" w:hAnsi="宋体" w:eastAsia="宋体"/>
                <w:color w:val="auto"/>
                <w:szCs w:val="21"/>
              </w:rPr>
              <w:t>法律、法规和招标文件规定的其他投标无效情形的</w:t>
            </w:r>
          </w:p>
        </w:tc>
        <w:tc>
          <w:tcPr>
            <w:tcW w:w="2871" w:type="dxa"/>
            <w:noWrap w:val="0"/>
            <w:vAlign w:val="center"/>
          </w:tcPr>
          <w:p w14:paraId="1299C684">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cs="宋体"/>
                <w:color w:val="auto"/>
                <w:kern w:val="0"/>
                <w:szCs w:val="21"/>
                <w:lang w:val="en-US" w:eastAsia="zh-CN"/>
              </w:rPr>
              <w:t>合格/不合格</w:t>
            </w:r>
          </w:p>
        </w:tc>
      </w:tr>
      <w:tr w14:paraId="35347E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97F6091">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5506" w:type="dxa"/>
            <w:noWrap w:val="0"/>
            <w:vAlign w:val="top"/>
          </w:tcPr>
          <w:p w14:paraId="5DF3F8C8">
            <w:pPr>
              <w:adjustRightInd w:val="0"/>
              <w:snapToGrid w:val="0"/>
              <w:spacing w:before="156" w:beforeLines="50" w:line="360" w:lineRule="auto"/>
              <w:jc w:val="left"/>
              <w:rPr>
                <w:rFonts w:ascii="宋体" w:hAnsi="宋体" w:eastAsia="宋体" w:cs="宋体"/>
                <w:color w:val="auto"/>
                <w:kern w:val="0"/>
                <w:szCs w:val="21"/>
              </w:rPr>
            </w:pPr>
            <w:r>
              <w:rPr>
                <w:rFonts w:hint="eastAsia" w:ascii="宋体" w:hAnsi="宋体" w:cs="Times New Roman"/>
                <w:color w:val="auto"/>
                <w:kern w:val="0"/>
                <w:szCs w:val="21"/>
              </w:rPr>
              <w:t>不良信用记录查询</w:t>
            </w:r>
          </w:p>
        </w:tc>
        <w:tc>
          <w:tcPr>
            <w:tcW w:w="2871" w:type="dxa"/>
            <w:noWrap w:val="0"/>
            <w:vAlign w:val="center"/>
          </w:tcPr>
          <w:p w14:paraId="59BD0C3F">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cs="宋体"/>
                <w:color w:val="auto"/>
                <w:kern w:val="0"/>
                <w:szCs w:val="21"/>
                <w:lang w:val="en-US" w:eastAsia="zh-CN"/>
              </w:rPr>
              <w:t>合格/不合格</w:t>
            </w:r>
          </w:p>
        </w:tc>
      </w:tr>
      <w:tr w14:paraId="74610F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AD68446">
            <w:pPr>
              <w:adjustRightInd w:val="0"/>
              <w:snapToGrid w:val="0"/>
              <w:spacing w:before="156" w:beforeLines="50" w:line="360" w:lineRule="auto"/>
              <w:jc w:val="center"/>
              <w:rPr>
                <w:rFonts w:ascii="宋体" w:hAnsi="宋体" w:eastAsia="宋体"/>
                <w:color w:val="auto"/>
                <w:kern w:val="0"/>
                <w:szCs w:val="21"/>
              </w:rPr>
            </w:pPr>
            <w:r>
              <w:rPr>
                <w:rFonts w:hint="eastAsia" w:ascii="宋体" w:hAnsi="宋体" w:eastAsia="宋体"/>
                <w:color w:val="auto"/>
                <w:kern w:val="0"/>
                <w:szCs w:val="21"/>
              </w:rPr>
              <w:t>8</w:t>
            </w:r>
          </w:p>
        </w:tc>
        <w:tc>
          <w:tcPr>
            <w:tcW w:w="5506" w:type="dxa"/>
            <w:noWrap w:val="0"/>
            <w:vAlign w:val="top"/>
          </w:tcPr>
          <w:p w14:paraId="698E1FDC">
            <w:pPr>
              <w:adjustRightInd w:val="0"/>
              <w:snapToGrid w:val="0"/>
              <w:spacing w:before="156" w:beforeLines="50" w:line="360" w:lineRule="auto"/>
              <w:jc w:val="left"/>
              <w:rPr>
                <w:rFonts w:ascii="宋体" w:hAnsi="宋体" w:eastAsia="宋体"/>
                <w:color w:val="auto"/>
                <w:kern w:val="0"/>
                <w:szCs w:val="21"/>
              </w:rPr>
            </w:pPr>
            <w:r>
              <w:rPr>
                <w:rFonts w:hint="eastAsia" w:ascii="宋体" w:hAnsi="宋体" w:cs="Times New Roman"/>
                <w:color w:val="auto"/>
                <w:kern w:val="0"/>
                <w:szCs w:val="21"/>
              </w:rPr>
              <w:t>资格证明文件的签署、盖章</w:t>
            </w:r>
          </w:p>
        </w:tc>
        <w:tc>
          <w:tcPr>
            <w:tcW w:w="2871" w:type="dxa"/>
            <w:noWrap w:val="0"/>
            <w:vAlign w:val="center"/>
          </w:tcPr>
          <w:p w14:paraId="2DC860DE">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cs="宋体"/>
                <w:color w:val="auto"/>
                <w:kern w:val="0"/>
                <w:szCs w:val="21"/>
                <w:lang w:val="en-US" w:eastAsia="zh-CN"/>
              </w:rPr>
              <w:t>合格/不合格</w:t>
            </w:r>
          </w:p>
        </w:tc>
      </w:tr>
      <w:tr w14:paraId="2D524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35AAE37">
            <w:pPr>
              <w:adjustRightInd w:val="0"/>
              <w:snapToGrid w:val="0"/>
              <w:spacing w:before="156" w:beforeLines="50" w:line="360" w:lineRule="auto"/>
              <w:jc w:val="center"/>
              <w:rPr>
                <w:rFonts w:ascii="宋体" w:hAnsi="宋体" w:eastAsia="宋体"/>
                <w:color w:val="auto"/>
                <w:kern w:val="0"/>
                <w:szCs w:val="21"/>
              </w:rPr>
            </w:pPr>
            <w:r>
              <w:rPr>
                <w:rFonts w:hint="eastAsia" w:ascii="宋体" w:hAnsi="宋体" w:eastAsia="宋体"/>
                <w:color w:val="auto"/>
                <w:kern w:val="0"/>
                <w:szCs w:val="21"/>
              </w:rPr>
              <w:t>9</w:t>
            </w:r>
          </w:p>
        </w:tc>
        <w:tc>
          <w:tcPr>
            <w:tcW w:w="5506" w:type="dxa"/>
            <w:noWrap w:val="0"/>
            <w:vAlign w:val="top"/>
          </w:tcPr>
          <w:p w14:paraId="69454887">
            <w:pPr>
              <w:adjustRightInd w:val="0"/>
              <w:snapToGrid w:val="0"/>
              <w:spacing w:before="156" w:beforeLines="50" w:line="360" w:lineRule="auto"/>
              <w:jc w:val="left"/>
              <w:rPr>
                <w:rFonts w:hint="default" w:ascii="宋体" w:hAnsi="宋体" w:eastAsia="宋体"/>
                <w:color w:val="auto"/>
                <w:kern w:val="0"/>
                <w:szCs w:val="21"/>
                <w:lang w:val="en-US" w:eastAsia="zh-CN"/>
              </w:rPr>
            </w:pPr>
            <w:r>
              <w:rPr>
                <w:rFonts w:hint="eastAsia" w:ascii="宋体" w:hAnsi="宋体" w:cs="Times New Roman"/>
                <w:color w:val="auto"/>
                <w:kern w:val="0"/>
                <w:szCs w:val="21"/>
              </w:rPr>
              <w:t>授权代表委托书（授权代表参加投标）</w:t>
            </w:r>
            <w:r>
              <w:rPr>
                <w:rFonts w:hint="eastAsia" w:ascii="宋体" w:hAnsi="宋体" w:cs="Times New Roman"/>
                <w:color w:val="auto"/>
                <w:kern w:val="0"/>
                <w:szCs w:val="21"/>
                <w:lang w:eastAsia="zh-CN"/>
              </w:rPr>
              <w:t>及近</w:t>
            </w:r>
            <w:r>
              <w:rPr>
                <w:rFonts w:hint="eastAsia" w:ascii="宋体" w:hAnsi="宋体" w:cs="Times New Roman"/>
                <w:color w:val="auto"/>
                <w:kern w:val="0"/>
                <w:szCs w:val="21"/>
                <w:lang w:val="en-US" w:eastAsia="zh-CN"/>
              </w:rPr>
              <w:t>6个月的社保缴纳证明</w:t>
            </w:r>
          </w:p>
        </w:tc>
        <w:tc>
          <w:tcPr>
            <w:tcW w:w="2871" w:type="dxa"/>
            <w:noWrap w:val="0"/>
            <w:vAlign w:val="center"/>
          </w:tcPr>
          <w:p w14:paraId="32E4446E">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cs="宋体"/>
                <w:color w:val="auto"/>
                <w:kern w:val="0"/>
                <w:szCs w:val="21"/>
                <w:lang w:val="en-US" w:eastAsia="zh-CN"/>
              </w:rPr>
              <w:t>合格/不合格</w:t>
            </w:r>
          </w:p>
        </w:tc>
      </w:tr>
      <w:tr w14:paraId="136B1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683" w:type="dxa"/>
            <w:noWrap w:val="0"/>
            <w:vAlign w:val="center"/>
          </w:tcPr>
          <w:p w14:paraId="0C7FFDB7">
            <w:pPr>
              <w:adjustRightInd w:val="0"/>
              <w:snapToGrid w:val="0"/>
              <w:spacing w:before="156" w:beforeLines="50" w:line="360" w:lineRule="auto"/>
              <w:jc w:val="center"/>
              <w:rPr>
                <w:rFonts w:ascii="宋体" w:hAnsi="宋体" w:eastAsia="宋体" w:cs="宋体"/>
                <w:color w:val="auto"/>
                <w:kern w:val="0"/>
                <w:sz w:val="20"/>
                <w:szCs w:val="21"/>
              </w:rPr>
            </w:pPr>
            <w:r>
              <w:rPr>
                <w:rFonts w:hint="eastAsia" w:ascii="宋体" w:hAnsi="宋体" w:eastAsia="宋体"/>
                <w:color w:val="auto"/>
                <w:kern w:val="0"/>
                <w:sz w:val="20"/>
                <w:szCs w:val="21"/>
              </w:rPr>
              <w:t>结论</w:t>
            </w:r>
          </w:p>
        </w:tc>
        <w:tc>
          <w:tcPr>
            <w:tcW w:w="8377" w:type="dxa"/>
            <w:gridSpan w:val="2"/>
            <w:noWrap w:val="0"/>
            <w:vAlign w:val="center"/>
          </w:tcPr>
          <w:p w14:paraId="7BE6A873">
            <w:pPr>
              <w:adjustRightInd w:val="0"/>
              <w:snapToGrid w:val="0"/>
              <w:spacing w:before="156" w:beforeLines="50" w:line="360" w:lineRule="auto"/>
              <w:jc w:val="both"/>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在资格审查结果一览表中汇总</w:t>
            </w:r>
          </w:p>
        </w:tc>
      </w:tr>
    </w:tbl>
    <w:p w14:paraId="59D7CF38">
      <w:pPr>
        <w:rPr>
          <w:color w:val="auto"/>
        </w:rPr>
      </w:pPr>
    </w:p>
    <w:p w14:paraId="3EA20531">
      <w:pPr>
        <w:widowControl/>
        <w:jc w:val="left"/>
        <w:rPr>
          <w:rFonts w:ascii="黑体" w:hAnsi="黑体" w:eastAsia="黑体"/>
          <w:bCs/>
          <w:color w:val="auto"/>
          <w:szCs w:val="21"/>
        </w:rPr>
      </w:pPr>
      <w:r>
        <w:rPr>
          <w:rFonts w:ascii="黑体" w:hAnsi="黑体"/>
          <w:b/>
          <w:color w:val="auto"/>
          <w:szCs w:val="21"/>
        </w:rPr>
        <w:br w:type="page"/>
      </w:r>
    </w:p>
    <w:p w14:paraId="1729A62F">
      <w:pPr>
        <w:pStyle w:val="7"/>
        <w:adjustRightInd w:val="0"/>
        <w:snapToGrid w:val="0"/>
        <w:spacing w:before="0" w:after="0" w:line="360" w:lineRule="auto"/>
        <w:rPr>
          <w:rFonts w:ascii="黑体" w:hAnsi="黑体"/>
          <w:b w:val="0"/>
          <w:color w:val="auto"/>
          <w:sz w:val="21"/>
          <w:szCs w:val="21"/>
        </w:rPr>
      </w:pPr>
      <w:bookmarkStart w:id="36" w:name="_Toc24421"/>
      <w:r>
        <w:rPr>
          <w:rFonts w:hint="eastAsia" w:ascii="黑体" w:hAnsi="黑体"/>
          <w:b w:val="0"/>
          <w:color w:val="auto"/>
          <w:sz w:val="21"/>
          <w:szCs w:val="21"/>
        </w:rPr>
        <w:t>附表2 资格审查结果一览表</w:t>
      </w:r>
      <w:bookmarkEnd w:id="36"/>
    </w:p>
    <w:p w14:paraId="5468F2A4">
      <w:pPr>
        <w:adjustRightInd w:val="0"/>
        <w:snapToGrid w:val="0"/>
        <w:spacing w:line="360" w:lineRule="auto"/>
        <w:jc w:val="center"/>
        <w:rPr>
          <w:rFonts w:hint="eastAsia" w:ascii="黑体" w:hAnsi="黑体" w:eastAsia="黑体"/>
          <w:b/>
          <w:color w:val="auto"/>
          <w:sz w:val="28"/>
          <w:szCs w:val="28"/>
        </w:rPr>
      </w:pPr>
      <w:r>
        <w:rPr>
          <w:rFonts w:hint="eastAsia" w:ascii="黑体" w:hAnsi="黑体" w:eastAsia="黑体"/>
          <w:b/>
          <w:color w:val="auto"/>
          <w:sz w:val="28"/>
          <w:szCs w:val="28"/>
        </w:rPr>
        <w:t>资格审查结果一览表</w:t>
      </w:r>
    </w:p>
    <w:p w14:paraId="7D30D9FE">
      <w:pPr>
        <w:pStyle w:val="24"/>
        <w:rPr>
          <w:color w:val="auto"/>
        </w:rPr>
      </w:pPr>
    </w:p>
    <w:p w14:paraId="45E435EF">
      <w:pPr>
        <w:adjustRightInd w:val="0"/>
        <w:snapToGrid w:val="0"/>
        <w:spacing w:line="360" w:lineRule="auto"/>
        <w:rPr>
          <w:color w:val="auto"/>
        </w:rPr>
      </w:pPr>
      <w:r>
        <w:rPr>
          <w:rFonts w:hint="eastAsia" w:ascii="宋体" w:hAnsi="宋体" w:eastAsia="宋体"/>
          <w:color w:val="auto"/>
          <w:szCs w:val="21"/>
        </w:rPr>
        <w:t>项目名称：</w:t>
      </w:r>
      <w:r>
        <w:rPr>
          <w:rFonts w:hint="eastAsia" w:ascii="宋体" w:hAnsi="宋体" w:eastAsia="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 xml:space="preserve">                                          </w:t>
      </w:r>
    </w:p>
    <w:tbl>
      <w:tblPr>
        <w:tblStyle w:val="2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1DEEC6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center"/>
          </w:tcPr>
          <w:p w14:paraId="7943A644">
            <w:pPr>
              <w:jc w:val="center"/>
              <w:rPr>
                <w:rFonts w:ascii="宋体" w:hAnsi="宋体" w:eastAsia="宋体"/>
                <w:b/>
                <w:color w:val="auto"/>
                <w:kern w:val="0"/>
                <w:szCs w:val="21"/>
              </w:rPr>
            </w:pPr>
            <w:r>
              <w:rPr>
                <w:rFonts w:hint="eastAsia" w:ascii="宋体" w:hAnsi="宋体" w:eastAsia="宋体"/>
                <w:b/>
                <w:color w:val="auto"/>
                <w:kern w:val="0"/>
                <w:szCs w:val="21"/>
              </w:rPr>
              <w:t>序号</w:t>
            </w:r>
          </w:p>
        </w:tc>
        <w:tc>
          <w:tcPr>
            <w:tcW w:w="2963" w:type="dxa"/>
            <w:noWrap w:val="0"/>
            <w:vAlign w:val="center"/>
          </w:tcPr>
          <w:p w14:paraId="141D513E">
            <w:pPr>
              <w:jc w:val="center"/>
              <w:rPr>
                <w:rFonts w:ascii="宋体" w:hAnsi="宋体" w:eastAsia="宋体"/>
                <w:b/>
                <w:color w:val="auto"/>
                <w:kern w:val="0"/>
                <w:szCs w:val="21"/>
              </w:rPr>
            </w:pPr>
            <w:r>
              <w:rPr>
                <w:rFonts w:hint="eastAsia" w:ascii="宋体" w:hAnsi="宋体" w:eastAsia="宋体"/>
                <w:b/>
                <w:color w:val="auto"/>
                <w:kern w:val="0"/>
                <w:szCs w:val="21"/>
              </w:rPr>
              <w:t>投标人名称</w:t>
            </w:r>
          </w:p>
        </w:tc>
        <w:tc>
          <w:tcPr>
            <w:tcW w:w="2439" w:type="dxa"/>
            <w:noWrap w:val="0"/>
            <w:vAlign w:val="center"/>
          </w:tcPr>
          <w:p w14:paraId="19BAD743">
            <w:pPr>
              <w:jc w:val="center"/>
              <w:rPr>
                <w:rFonts w:ascii="宋体" w:hAnsi="宋体" w:eastAsia="宋体"/>
                <w:b/>
                <w:color w:val="auto"/>
                <w:kern w:val="0"/>
                <w:szCs w:val="21"/>
              </w:rPr>
            </w:pPr>
            <w:r>
              <w:rPr>
                <w:rFonts w:hint="eastAsia" w:ascii="宋体" w:hAnsi="宋体" w:eastAsia="宋体"/>
                <w:b/>
                <w:color w:val="auto"/>
                <w:kern w:val="0"/>
                <w:szCs w:val="21"/>
              </w:rPr>
              <w:t>资格审查结果</w:t>
            </w:r>
          </w:p>
          <w:p w14:paraId="565E5A4C">
            <w:pPr>
              <w:jc w:val="center"/>
              <w:rPr>
                <w:rFonts w:ascii="宋体" w:hAnsi="宋体" w:eastAsia="宋体"/>
                <w:b/>
                <w:color w:val="auto"/>
                <w:kern w:val="0"/>
                <w:szCs w:val="21"/>
              </w:rPr>
            </w:pPr>
            <w:r>
              <w:rPr>
                <w:rFonts w:hint="eastAsia" w:ascii="宋体" w:hAnsi="宋体" w:eastAsia="宋体"/>
                <w:b/>
                <w:color w:val="auto"/>
                <w:kern w:val="0"/>
                <w:szCs w:val="21"/>
              </w:rPr>
              <w:t>（合格/不合格）</w:t>
            </w:r>
          </w:p>
        </w:tc>
        <w:tc>
          <w:tcPr>
            <w:tcW w:w="2961" w:type="dxa"/>
            <w:noWrap w:val="0"/>
            <w:vAlign w:val="center"/>
          </w:tcPr>
          <w:p w14:paraId="1C73DD90">
            <w:pPr>
              <w:jc w:val="center"/>
              <w:rPr>
                <w:rFonts w:ascii="宋体" w:hAnsi="宋体" w:eastAsia="宋体"/>
                <w:b/>
                <w:color w:val="auto"/>
                <w:kern w:val="0"/>
                <w:szCs w:val="21"/>
              </w:rPr>
            </w:pPr>
            <w:r>
              <w:rPr>
                <w:rFonts w:hint="eastAsia" w:ascii="宋体" w:hAnsi="宋体" w:eastAsia="宋体"/>
                <w:b/>
                <w:color w:val="auto"/>
                <w:kern w:val="0"/>
                <w:szCs w:val="21"/>
              </w:rPr>
              <w:t>资格审查不合格原因</w:t>
            </w:r>
          </w:p>
        </w:tc>
      </w:tr>
      <w:tr w14:paraId="4DB88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279E340B">
            <w:pPr>
              <w:adjustRightInd w:val="0"/>
              <w:snapToGrid w:val="0"/>
              <w:spacing w:line="360" w:lineRule="auto"/>
              <w:rPr>
                <w:rFonts w:ascii="宋体" w:hAnsi="宋体" w:eastAsia="宋体"/>
                <w:color w:val="auto"/>
                <w:kern w:val="0"/>
                <w:sz w:val="24"/>
              </w:rPr>
            </w:pPr>
          </w:p>
        </w:tc>
        <w:tc>
          <w:tcPr>
            <w:tcW w:w="2963" w:type="dxa"/>
            <w:noWrap w:val="0"/>
            <w:vAlign w:val="top"/>
          </w:tcPr>
          <w:p w14:paraId="19563A32">
            <w:pPr>
              <w:adjustRightInd w:val="0"/>
              <w:snapToGrid w:val="0"/>
              <w:spacing w:line="360" w:lineRule="auto"/>
              <w:rPr>
                <w:rFonts w:ascii="宋体" w:hAnsi="宋体" w:eastAsia="宋体"/>
                <w:color w:val="auto"/>
                <w:kern w:val="0"/>
                <w:sz w:val="24"/>
              </w:rPr>
            </w:pPr>
          </w:p>
        </w:tc>
        <w:tc>
          <w:tcPr>
            <w:tcW w:w="2439" w:type="dxa"/>
            <w:noWrap w:val="0"/>
            <w:vAlign w:val="top"/>
          </w:tcPr>
          <w:p w14:paraId="09BEBDB2">
            <w:pPr>
              <w:adjustRightInd w:val="0"/>
              <w:snapToGrid w:val="0"/>
              <w:spacing w:line="360" w:lineRule="auto"/>
              <w:rPr>
                <w:rFonts w:ascii="宋体" w:hAnsi="宋体" w:eastAsia="宋体"/>
                <w:color w:val="auto"/>
                <w:kern w:val="0"/>
                <w:sz w:val="24"/>
              </w:rPr>
            </w:pPr>
          </w:p>
        </w:tc>
        <w:tc>
          <w:tcPr>
            <w:tcW w:w="2961" w:type="dxa"/>
            <w:noWrap w:val="0"/>
            <w:vAlign w:val="top"/>
          </w:tcPr>
          <w:p w14:paraId="44FB5A38">
            <w:pPr>
              <w:adjustRightInd w:val="0"/>
              <w:snapToGrid w:val="0"/>
              <w:spacing w:line="360" w:lineRule="auto"/>
              <w:rPr>
                <w:rFonts w:ascii="宋体" w:hAnsi="宋体" w:eastAsia="宋体"/>
                <w:color w:val="auto"/>
                <w:kern w:val="0"/>
                <w:sz w:val="24"/>
              </w:rPr>
            </w:pPr>
          </w:p>
        </w:tc>
      </w:tr>
      <w:tr w14:paraId="79512C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22B14F09">
            <w:pPr>
              <w:adjustRightInd w:val="0"/>
              <w:snapToGrid w:val="0"/>
              <w:spacing w:line="360" w:lineRule="auto"/>
              <w:rPr>
                <w:rFonts w:ascii="宋体" w:hAnsi="宋体" w:eastAsia="宋体"/>
                <w:color w:val="auto"/>
                <w:kern w:val="0"/>
                <w:sz w:val="24"/>
              </w:rPr>
            </w:pPr>
          </w:p>
        </w:tc>
        <w:tc>
          <w:tcPr>
            <w:tcW w:w="2963" w:type="dxa"/>
            <w:noWrap w:val="0"/>
            <w:vAlign w:val="top"/>
          </w:tcPr>
          <w:p w14:paraId="0CA41D33">
            <w:pPr>
              <w:adjustRightInd w:val="0"/>
              <w:snapToGrid w:val="0"/>
              <w:spacing w:line="360" w:lineRule="auto"/>
              <w:rPr>
                <w:rFonts w:ascii="宋体" w:hAnsi="宋体" w:eastAsia="宋体"/>
                <w:color w:val="auto"/>
                <w:kern w:val="0"/>
                <w:sz w:val="24"/>
              </w:rPr>
            </w:pPr>
          </w:p>
        </w:tc>
        <w:tc>
          <w:tcPr>
            <w:tcW w:w="2439" w:type="dxa"/>
            <w:noWrap w:val="0"/>
            <w:vAlign w:val="top"/>
          </w:tcPr>
          <w:p w14:paraId="4EA44F45">
            <w:pPr>
              <w:adjustRightInd w:val="0"/>
              <w:snapToGrid w:val="0"/>
              <w:spacing w:line="360" w:lineRule="auto"/>
              <w:rPr>
                <w:rFonts w:ascii="宋体" w:hAnsi="宋体" w:eastAsia="宋体"/>
                <w:color w:val="auto"/>
                <w:kern w:val="0"/>
                <w:sz w:val="24"/>
              </w:rPr>
            </w:pPr>
          </w:p>
        </w:tc>
        <w:tc>
          <w:tcPr>
            <w:tcW w:w="2961" w:type="dxa"/>
            <w:noWrap w:val="0"/>
            <w:vAlign w:val="top"/>
          </w:tcPr>
          <w:p w14:paraId="4E472A77">
            <w:pPr>
              <w:adjustRightInd w:val="0"/>
              <w:snapToGrid w:val="0"/>
              <w:spacing w:line="360" w:lineRule="auto"/>
              <w:rPr>
                <w:rFonts w:ascii="宋体" w:hAnsi="宋体" w:eastAsia="宋体"/>
                <w:color w:val="auto"/>
                <w:kern w:val="0"/>
                <w:sz w:val="24"/>
              </w:rPr>
            </w:pPr>
          </w:p>
        </w:tc>
      </w:tr>
      <w:tr w14:paraId="46A811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6DEAAC9B">
            <w:pPr>
              <w:adjustRightInd w:val="0"/>
              <w:snapToGrid w:val="0"/>
              <w:spacing w:line="360" w:lineRule="auto"/>
              <w:rPr>
                <w:rFonts w:ascii="宋体" w:hAnsi="宋体" w:eastAsia="宋体"/>
                <w:color w:val="auto"/>
                <w:kern w:val="0"/>
                <w:sz w:val="24"/>
              </w:rPr>
            </w:pPr>
          </w:p>
        </w:tc>
        <w:tc>
          <w:tcPr>
            <w:tcW w:w="2963" w:type="dxa"/>
            <w:noWrap w:val="0"/>
            <w:vAlign w:val="top"/>
          </w:tcPr>
          <w:p w14:paraId="59C25268">
            <w:pPr>
              <w:adjustRightInd w:val="0"/>
              <w:snapToGrid w:val="0"/>
              <w:spacing w:line="360" w:lineRule="auto"/>
              <w:rPr>
                <w:rFonts w:ascii="宋体" w:hAnsi="宋体" w:eastAsia="宋体"/>
                <w:color w:val="auto"/>
                <w:kern w:val="0"/>
                <w:sz w:val="24"/>
              </w:rPr>
            </w:pPr>
          </w:p>
        </w:tc>
        <w:tc>
          <w:tcPr>
            <w:tcW w:w="2439" w:type="dxa"/>
            <w:noWrap w:val="0"/>
            <w:vAlign w:val="top"/>
          </w:tcPr>
          <w:p w14:paraId="256C8C53">
            <w:pPr>
              <w:adjustRightInd w:val="0"/>
              <w:snapToGrid w:val="0"/>
              <w:spacing w:line="360" w:lineRule="auto"/>
              <w:rPr>
                <w:rFonts w:ascii="宋体" w:hAnsi="宋体" w:eastAsia="宋体"/>
                <w:color w:val="auto"/>
                <w:kern w:val="0"/>
                <w:sz w:val="24"/>
              </w:rPr>
            </w:pPr>
          </w:p>
        </w:tc>
        <w:tc>
          <w:tcPr>
            <w:tcW w:w="2961" w:type="dxa"/>
            <w:noWrap w:val="0"/>
            <w:vAlign w:val="top"/>
          </w:tcPr>
          <w:p w14:paraId="2DC01756">
            <w:pPr>
              <w:adjustRightInd w:val="0"/>
              <w:snapToGrid w:val="0"/>
              <w:spacing w:line="360" w:lineRule="auto"/>
              <w:rPr>
                <w:rFonts w:ascii="宋体" w:hAnsi="宋体" w:eastAsia="宋体"/>
                <w:color w:val="auto"/>
                <w:kern w:val="0"/>
                <w:sz w:val="24"/>
              </w:rPr>
            </w:pPr>
          </w:p>
        </w:tc>
      </w:tr>
      <w:tr w14:paraId="654095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4004D96C">
            <w:pPr>
              <w:adjustRightInd w:val="0"/>
              <w:snapToGrid w:val="0"/>
              <w:spacing w:line="360" w:lineRule="auto"/>
              <w:rPr>
                <w:rFonts w:ascii="宋体" w:hAnsi="宋体" w:eastAsia="宋体"/>
                <w:color w:val="auto"/>
                <w:kern w:val="0"/>
                <w:sz w:val="24"/>
              </w:rPr>
            </w:pPr>
          </w:p>
        </w:tc>
        <w:tc>
          <w:tcPr>
            <w:tcW w:w="2963" w:type="dxa"/>
            <w:noWrap w:val="0"/>
            <w:vAlign w:val="top"/>
          </w:tcPr>
          <w:p w14:paraId="2F1DDAE2">
            <w:pPr>
              <w:adjustRightInd w:val="0"/>
              <w:snapToGrid w:val="0"/>
              <w:spacing w:line="360" w:lineRule="auto"/>
              <w:rPr>
                <w:rFonts w:ascii="宋体" w:hAnsi="宋体" w:eastAsia="宋体"/>
                <w:color w:val="auto"/>
                <w:kern w:val="0"/>
                <w:sz w:val="24"/>
              </w:rPr>
            </w:pPr>
          </w:p>
        </w:tc>
        <w:tc>
          <w:tcPr>
            <w:tcW w:w="2439" w:type="dxa"/>
            <w:noWrap w:val="0"/>
            <w:vAlign w:val="top"/>
          </w:tcPr>
          <w:p w14:paraId="0111BA20">
            <w:pPr>
              <w:adjustRightInd w:val="0"/>
              <w:snapToGrid w:val="0"/>
              <w:spacing w:line="360" w:lineRule="auto"/>
              <w:rPr>
                <w:rFonts w:ascii="宋体" w:hAnsi="宋体" w:eastAsia="宋体"/>
                <w:color w:val="auto"/>
                <w:kern w:val="0"/>
                <w:sz w:val="24"/>
              </w:rPr>
            </w:pPr>
          </w:p>
        </w:tc>
        <w:tc>
          <w:tcPr>
            <w:tcW w:w="2961" w:type="dxa"/>
            <w:noWrap w:val="0"/>
            <w:vAlign w:val="top"/>
          </w:tcPr>
          <w:p w14:paraId="0DA82CC6">
            <w:pPr>
              <w:adjustRightInd w:val="0"/>
              <w:snapToGrid w:val="0"/>
              <w:spacing w:line="360" w:lineRule="auto"/>
              <w:rPr>
                <w:rFonts w:ascii="宋体" w:hAnsi="宋体" w:eastAsia="宋体"/>
                <w:color w:val="auto"/>
                <w:kern w:val="0"/>
                <w:sz w:val="24"/>
              </w:rPr>
            </w:pPr>
          </w:p>
        </w:tc>
      </w:tr>
      <w:tr w14:paraId="17C9D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6FDD57AF">
            <w:pPr>
              <w:adjustRightInd w:val="0"/>
              <w:snapToGrid w:val="0"/>
              <w:spacing w:line="360" w:lineRule="auto"/>
              <w:rPr>
                <w:rFonts w:ascii="宋体" w:hAnsi="宋体" w:eastAsia="宋体"/>
                <w:color w:val="auto"/>
                <w:kern w:val="0"/>
                <w:sz w:val="24"/>
              </w:rPr>
            </w:pPr>
          </w:p>
        </w:tc>
        <w:tc>
          <w:tcPr>
            <w:tcW w:w="2963" w:type="dxa"/>
            <w:noWrap w:val="0"/>
            <w:vAlign w:val="top"/>
          </w:tcPr>
          <w:p w14:paraId="2CFB415E">
            <w:pPr>
              <w:adjustRightInd w:val="0"/>
              <w:snapToGrid w:val="0"/>
              <w:spacing w:line="360" w:lineRule="auto"/>
              <w:rPr>
                <w:rFonts w:ascii="宋体" w:hAnsi="宋体" w:eastAsia="宋体"/>
                <w:color w:val="auto"/>
                <w:kern w:val="0"/>
                <w:sz w:val="24"/>
              </w:rPr>
            </w:pPr>
          </w:p>
        </w:tc>
        <w:tc>
          <w:tcPr>
            <w:tcW w:w="2439" w:type="dxa"/>
            <w:noWrap w:val="0"/>
            <w:vAlign w:val="top"/>
          </w:tcPr>
          <w:p w14:paraId="1295E25C">
            <w:pPr>
              <w:adjustRightInd w:val="0"/>
              <w:snapToGrid w:val="0"/>
              <w:spacing w:line="360" w:lineRule="auto"/>
              <w:rPr>
                <w:rFonts w:ascii="宋体" w:hAnsi="宋体" w:eastAsia="宋体"/>
                <w:color w:val="auto"/>
                <w:kern w:val="0"/>
                <w:sz w:val="24"/>
              </w:rPr>
            </w:pPr>
          </w:p>
        </w:tc>
        <w:tc>
          <w:tcPr>
            <w:tcW w:w="2961" w:type="dxa"/>
            <w:noWrap w:val="0"/>
            <w:vAlign w:val="top"/>
          </w:tcPr>
          <w:p w14:paraId="052943AD">
            <w:pPr>
              <w:adjustRightInd w:val="0"/>
              <w:snapToGrid w:val="0"/>
              <w:spacing w:line="360" w:lineRule="auto"/>
              <w:rPr>
                <w:rFonts w:ascii="宋体" w:hAnsi="宋体" w:eastAsia="宋体"/>
                <w:color w:val="auto"/>
                <w:kern w:val="0"/>
                <w:sz w:val="24"/>
              </w:rPr>
            </w:pPr>
          </w:p>
        </w:tc>
      </w:tr>
      <w:tr w14:paraId="6D3CC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3F339A9E">
            <w:pPr>
              <w:adjustRightInd w:val="0"/>
              <w:snapToGrid w:val="0"/>
              <w:spacing w:line="360" w:lineRule="auto"/>
              <w:rPr>
                <w:rFonts w:ascii="宋体" w:hAnsi="宋体" w:eastAsia="宋体"/>
                <w:color w:val="auto"/>
                <w:kern w:val="0"/>
                <w:sz w:val="24"/>
              </w:rPr>
            </w:pPr>
          </w:p>
        </w:tc>
        <w:tc>
          <w:tcPr>
            <w:tcW w:w="2963" w:type="dxa"/>
            <w:noWrap w:val="0"/>
            <w:vAlign w:val="top"/>
          </w:tcPr>
          <w:p w14:paraId="50A2D2D8">
            <w:pPr>
              <w:adjustRightInd w:val="0"/>
              <w:snapToGrid w:val="0"/>
              <w:spacing w:line="360" w:lineRule="auto"/>
              <w:rPr>
                <w:rFonts w:ascii="宋体" w:hAnsi="宋体" w:eastAsia="宋体"/>
                <w:color w:val="auto"/>
                <w:kern w:val="0"/>
                <w:sz w:val="24"/>
              </w:rPr>
            </w:pPr>
          </w:p>
        </w:tc>
        <w:tc>
          <w:tcPr>
            <w:tcW w:w="2439" w:type="dxa"/>
            <w:noWrap w:val="0"/>
            <w:vAlign w:val="top"/>
          </w:tcPr>
          <w:p w14:paraId="6AB6D74B">
            <w:pPr>
              <w:adjustRightInd w:val="0"/>
              <w:snapToGrid w:val="0"/>
              <w:spacing w:line="360" w:lineRule="auto"/>
              <w:rPr>
                <w:rFonts w:ascii="宋体" w:hAnsi="宋体" w:eastAsia="宋体"/>
                <w:color w:val="auto"/>
                <w:kern w:val="0"/>
                <w:sz w:val="24"/>
              </w:rPr>
            </w:pPr>
          </w:p>
        </w:tc>
        <w:tc>
          <w:tcPr>
            <w:tcW w:w="2961" w:type="dxa"/>
            <w:noWrap w:val="0"/>
            <w:vAlign w:val="top"/>
          </w:tcPr>
          <w:p w14:paraId="05E9102D">
            <w:pPr>
              <w:adjustRightInd w:val="0"/>
              <w:snapToGrid w:val="0"/>
              <w:spacing w:line="360" w:lineRule="auto"/>
              <w:rPr>
                <w:rFonts w:ascii="宋体" w:hAnsi="宋体" w:eastAsia="宋体"/>
                <w:color w:val="auto"/>
                <w:kern w:val="0"/>
                <w:sz w:val="24"/>
              </w:rPr>
            </w:pPr>
          </w:p>
        </w:tc>
      </w:tr>
      <w:tr w14:paraId="1C2BB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07BB880B">
            <w:pPr>
              <w:adjustRightInd w:val="0"/>
              <w:snapToGrid w:val="0"/>
              <w:spacing w:line="360" w:lineRule="auto"/>
              <w:rPr>
                <w:rFonts w:ascii="宋体" w:hAnsi="宋体" w:eastAsia="宋体"/>
                <w:color w:val="auto"/>
                <w:kern w:val="0"/>
                <w:sz w:val="24"/>
              </w:rPr>
            </w:pPr>
          </w:p>
        </w:tc>
        <w:tc>
          <w:tcPr>
            <w:tcW w:w="2963" w:type="dxa"/>
            <w:noWrap w:val="0"/>
            <w:vAlign w:val="top"/>
          </w:tcPr>
          <w:p w14:paraId="58C18FDA">
            <w:pPr>
              <w:adjustRightInd w:val="0"/>
              <w:snapToGrid w:val="0"/>
              <w:spacing w:line="360" w:lineRule="auto"/>
              <w:rPr>
                <w:rFonts w:ascii="宋体" w:hAnsi="宋体" w:eastAsia="宋体"/>
                <w:color w:val="auto"/>
                <w:kern w:val="0"/>
                <w:sz w:val="24"/>
              </w:rPr>
            </w:pPr>
          </w:p>
        </w:tc>
        <w:tc>
          <w:tcPr>
            <w:tcW w:w="2439" w:type="dxa"/>
            <w:noWrap w:val="0"/>
            <w:vAlign w:val="top"/>
          </w:tcPr>
          <w:p w14:paraId="11CA6F5C">
            <w:pPr>
              <w:adjustRightInd w:val="0"/>
              <w:snapToGrid w:val="0"/>
              <w:spacing w:line="360" w:lineRule="auto"/>
              <w:rPr>
                <w:rFonts w:ascii="宋体" w:hAnsi="宋体" w:eastAsia="宋体"/>
                <w:color w:val="auto"/>
                <w:kern w:val="0"/>
                <w:sz w:val="24"/>
              </w:rPr>
            </w:pPr>
          </w:p>
        </w:tc>
        <w:tc>
          <w:tcPr>
            <w:tcW w:w="2961" w:type="dxa"/>
            <w:noWrap w:val="0"/>
            <w:vAlign w:val="top"/>
          </w:tcPr>
          <w:p w14:paraId="3DF87363">
            <w:pPr>
              <w:adjustRightInd w:val="0"/>
              <w:snapToGrid w:val="0"/>
              <w:spacing w:line="360" w:lineRule="auto"/>
              <w:rPr>
                <w:rFonts w:ascii="宋体" w:hAnsi="宋体" w:eastAsia="宋体"/>
                <w:color w:val="auto"/>
                <w:kern w:val="0"/>
                <w:sz w:val="24"/>
              </w:rPr>
            </w:pPr>
          </w:p>
        </w:tc>
      </w:tr>
      <w:tr w14:paraId="21D8A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72CD0C54">
            <w:pPr>
              <w:adjustRightInd w:val="0"/>
              <w:snapToGrid w:val="0"/>
              <w:spacing w:line="360" w:lineRule="auto"/>
              <w:rPr>
                <w:rFonts w:ascii="宋体" w:hAnsi="宋体" w:eastAsia="宋体"/>
                <w:color w:val="auto"/>
                <w:kern w:val="0"/>
                <w:sz w:val="24"/>
              </w:rPr>
            </w:pPr>
          </w:p>
        </w:tc>
        <w:tc>
          <w:tcPr>
            <w:tcW w:w="2963" w:type="dxa"/>
            <w:noWrap w:val="0"/>
            <w:vAlign w:val="top"/>
          </w:tcPr>
          <w:p w14:paraId="59A66A21">
            <w:pPr>
              <w:adjustRightInd w:val="0"/>
              <w:snapToGrid w:val="0"/>
              <w:spacing w:line="360" w:lineRule="auto"/>
              <w:rPr>
                <w:rFonts w:ascii="宋体" w:hAnsi="宋体" w:eastAsia="宋体"/>
                <w:color w:val="auto"/>
                <w:kern w:val="0"/>
                <w:sz w:val="24"/>
              </w:rPr>
            </w:pPr>
          </w:p>
        </w:tc>
        <w:tc>
          <w:tcPr>
            <w:tcW w:w="2439" w:type="dxa"/>
            <w:noWrap w:val="0"/>
            <w:vAlign w:val="top"/>
          </w:tcPr>
          <w:p w14:paraId="60AE6213">
            <w:pPr>
              <w:adjustRightInd w:val="0"/>
              <w:snapToGrid w:val="0"/>
              <w:spacing w:line="360" w:lineRule="auto"/>
              <w:rPr>
                <w:rFonts w:ascii="宋体" w:hAnsi="宋体" w:eastAsia="宋体"/>
                <w:color w:val="auto"/>
                <w:kern w:val="0"/>
                <w:sz w:val="24"/>
              </w:rPr>
            </w:pPr>
          </w:p>
        </w:tc>
        <w:tc>
          <w:tcPr>
            <w:tcW w:w="2961" w:type="dxa"/>
            <w:noWrap w:val="0"/>
            <w:vAlign w:val="top"/>
          </w:tcPr>
          <w:p w14:paraId="2A709D7E">
            <w:pPr>
              <w:adjustRightInd w:val="0"/>
              <w:snapToGrid w:val="0"/>
              <w:spacing w:line="360" w:lineRule="auto"/>
              <w:rPr>
                <w:rFonts w:ascii="宋体" w:hAnsi="宋体" w:eastAsia="宋体"/>
                <w:color w:val="auto"/>
                <w:kern w:val="0"/>
                <w:sz w:val="24"/>
              </w:rPr>
            </w:pPr>
          </w:p>
        </w:tc>
      </w:tr>
      <w:tr w14:paraId="0219F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65A0DD0A">
            <w:pPr>
              <w:adjustRightInd w:val="0"/>
              <w:snapToGrid w:val="0"/>
              <w:spacing w:line="360" w:lineRule="auto"/>
              <w:rPr>
                <w:rFonts w:ascii="宋体" w:hAnsi="宋体" w:eastAsia="宋体"/>
                <w:color w:val="auto"/>
                <w:kern w:val="0"/>
                <w:sz w:val="24"/>
              </w:rPr>
            </w:pPr>
          </w:p>
        </w:tc>
        <w:tc>
          <w:tcPr>
            <w:tcW w:w="2963" w:type="dxa"/>
            <w:noWrap w:val="0"/>
            <w:vAlign w:val="top"/>
          </w:tcPr>
          <w:p w14:paraId="78FBF35C">
            <w:pPr>
              <w:adjustRightInd w:val="0"/>
              <w:snapToGrid w:val="0"/>
              <w:spacing w:line="360" w:lineRule="auto"/>
              <w:rPr>
                <w:rFonts w:ascii="宋体" w:hAnsi="宋体" w:eastAsia="宋体"/>
                <w:color w:val="auto"/>
                <w:kern w:val="0"/>
                <w:sz w:val="24"/>
              </w:rPr>
            </w:pPr>
          </w:p>
        </w:tc>
        <w:tc>
          <w:tcPr>
            <w:tcW w:w="2439" w:type="dxa"/>
            <w:noWrap w:val="0"/>
            <w:vAlign w:val="top"/>
          </w:tcPr>
          <w:p w14:paraId="6C07FB6D">
            <w:pPr>
              <w:adjustRightInd w:val="0"/>
              <w:snapToGrid w:val="0"/>
              <w:spacing w:line="360" w:lineRule="auto"/>
              <w:rPr>
                <w:rFonts w:ascii="宋体" w:hAnsi="宋体" w:eastAsia="宋体"/>
                <w:color w:val="auto"/>
                <w:kern w:val="0"/>
                <w:sz w:val="24"/>
              </w:rPr>
            </w:pPr>
          </w:p>
        </w:tc>
        <w:tc>
          <w:tcPr>
            <w:tcW w:w="2961" w:type="dxa"/>
            <w:noWrap w:val="0"/>
            <w:vAlign w:val="top"/>
          </w:tcPr>
          <w:p w14:paraId="4E97D189">
            <w:pPr>
              <w:adjustRightInd w:val="0"/>
              <w:snapToGrid w:val="0"/>
              <w:spacing w:line="360" w:lineRule="auto"/>
              <w:rPr>
                <w:rFonts w:ascii="宋体" w:hAnsi="宋体" w:eastAsia="宋体"/>
                <w:color w:val="auto"/>
                <w:kern w:val="0"/>
                <w:sz w:val="24"/>
              </w:rPr>
            </w:pPr>
          </w:p>
        </w:tc>
      </w:tr>
    </w:tbl>
    <w:p w14:paraId="7110B5D2">
      <w:pPr>
        <w:adjustRightInd w:val="0"/>
        <w:snapToGrid w:val="0"/>
        <w:spacing w:line="360" w:lineRule="auto"/>
        <w:rPr>
          <w:rFonts w:hint="eastAsia" w:ascii="宋体" w:hAnsi="宋体" w:eastAsia="宋体"/>
          <w:color w:val="auto"/>
          <w:szCs w:val="21"/>
        </w:rPr>
      </w:pPr>
    </w:p>
    <w:p w14:paraId="28AF7EE4">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采购人（签字）：</w:t>
      </w:r>
      <w:r>
        <w:rPr>
          <w:rFonts w:hint="eastAsia" w:ascii="宋体" w:hAnsi="宋体" w:eastAsia="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 xml:space="preserve">                       </w:t>
      </w:r>
    </w:p>
    <w:p w14:paraId="05DC614F">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 xml:space="preserve">                              </w:t>
      </w:r>
    </w:p>
    <w:p w14:paraId="425EF293">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日期：</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日</w:t>
      </w:r>
    </w:p>
    <w:p w14:paraId="02E9BAE7">
      <w:pPr>
        <w:widowControl/>
        <w:jc w:val="left"/>
        <w:rPr>
          <w:rFonts w:ascii="宋体" w:hAnsi="宋体" w:eastAsia="宋体"/>
          <w:color w:val="auto"/>
          <w:sz w:val="24"/>
        </w:rPr>
      </w:pPr>
      <w:r>
        <w:rPr>
          <w:rFonts w:ascii="宋体" w:hAnsi="宋体" w:eastAsia="宋体"/>
          <w:color w:val="auto"/>
          <w:sz w:val="24"/>
        </w:rPr>
        <w:br w:type="page"/>
      </w:r>
    </w:p>
    <w:p w14:paraId="3D660188">
      <w:pPr>
        <w:pStyle w:val="4"/>
        <w:bidi w:val="0"/>
        <w:rPr>
          <w:color w:val="auto"/>
        </w:rPr>
      </w:pPr>
      <w:bookmarkStart w:id="37" w:name="_Toc18438"/>
      <w:bookmarkStart w:id="38" w:name="_Toc18807"/>
      <w:bookmarkStart w:id="39" w:name="_Toc4238"/>
      <w:r>
        <w:rPr>
          <w:rFonts w:hint="eastAsia"/>
          <w:color w:val="auto"/>
        </w:rPr>
        <w:t>第四章 评标方法及标准</w:t>
      </w:r>
      <w:bookmarkEnd w:id="37"/>
      <w:bookmarkEnd w:id="38"/>
      <w:bookmarkEnd w:id="39"/>
    </w:p>
    <w:p w14:paraId="2AC3DE2B">
      <w:pPr>
        <w:pStyle w:val="5"/>
        <w:adjustRightInd w:val="0"/>
        <w:snapToGrid w:val="0"/>
        <w:jc w:val="center"/>
        <w:rPr>
          <w:rFonts w:ascii="黑体" w:hAnsi="华文中宋" w:eastAsia="黑体"/>
          <w:color w:val="auto"/>
          <w:sz w:val="28"/>
          <w:szCs w:val="28"/>
        </w:rPr>
      </w:pPr>
      <w:bookmarkStart w:id="40" w:name="_Toc2367"/>
      <w:bookmarkStart w:id="41" w:name="_Toc5496"/>
      <w:r>
        <w:rPr>
          <w:rFonts w:hint="eastAsia" w:ascii="黑体" w:hAnsi="华文中宋" w:eastAsia="黑体"/>
          <w:color w:val="auto"/>
          <w:sz w:val="28"/>
          <w:szCs w:val="28"/>
        </w:rPr>
        <w:t>第一节 评标方法及标准前附表</w:t>
      </w:r>
      <w:bookmarkEnd w:id="40"/>
      <w:bookmarkEnd w:id="41"/>
    </w:p>
    <w:p w14:paraId="5493E29E">
      <w:pPr>
        <w:adjustRightInd w:val="0"/>
        <w:snapToGrid w:val="0"/>
        <w:spacing w:line="360" w:lineRule="auto"/>
        <w:jc w:val="right"/>
        <w:rPr>
          <w:rFonts w:ascii="宋体" w:hAnsi="宋体" w:eastAsia="宋体"/>
          <w:bCs/>
          <w:i/>
          <w:color w:val="auto"/>
          <w:szCs w:val="21"/>
        </w:rPr>
      </w:pPr>
      <w:r>
        <w:rPr>
          <w:rFonts w:hint="eastAsia" w:ascii="宋体" w:hAnsi="宋体" w:eastAsia="宋体"/>
          <w:bCs/>
          <w:i/>
          <w:color w:val="auto"/>
          <w:szCs w:val="21"/>
        </w:rPr>
        <w:t>本项目启用的条款在“编列内容规定”栏内以“</w:t>
      </w:r>
      <w:r>
        <w:rPr>
          <w:rFonts w:hint="eastAsia" w:ascii="宋体" w:hAnsi="宋体"/>
          <w:iCs/>
          <w:color w:val="auto"/>
          <w:szCs w:val="21"/>
        </w:rPr>
        <w:sym w:font="Wingdings" w:char="00FE"/>
      </w:r>
      <w:r>
        <w:rPr>
          <w:rFonts w:hint="eastAsia" w:ascii="宋体" w:hAnsi="宋体" w:eastAsia="宋体"/>
          <w:bCs/>
          <w:i/>
          <w:color w:val="auto"/>
          <w:szCs w:val="21"/>
        </w:rPr>
        <w:t>”标注。</w:t>
      </w:r>
    </w:p>
    <w:tbl>
      <w:tblPr>
        <w:tblStyle w:val="25"/>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2867"/>
        <w:gridCol w:w="4338"/>
      </w:tblGrid>
      <w:tr w14:paraId="4CC7C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double" w:color="auto" w:sz="4" w:space="0"/>
              <w:bottom w:val="single" w:color="auto" w:sz="6" w:space="0"/>
            </w:tcBorders>
            <w:noWrap w:val="0"/>
            <w:vAlign w:val="top"/>
          </w:tcPr>
          <w:p w14:paraId="06CC9288">
            <w:pPr>
              <w:adjustRightInd w:val="0"/>
              <w:snapToGrid w:val="0"/>
              <w:spacing w:before="156" w:beforeLines="50" w:line="360" w:lineRule="auto"/>
              <w:jc w:val="center"/>
              <w:rPr>
                <w:b/>
                <w:color w:val="auto"/>
              </w:rPr>
            </w:pPr>
            <w:r>
              <w:rPr>
                <w:rFonts w:hint="eastAsia"/>
                <w:b/>
                <w:color w:val="auto"/>
              </w:rPr>
              <w:t>条款号</w:t>
            </w:r>
          </w:p>
        </w:tc>
        <w:tc>
          <w:tcPr>
            <w:tcW w:w="2867" w:type="dxa"/>
            <w:tcBorders>
              <w:top w:val="double" w:color="auto" w:sz="4" w:space="0"/>
              <w:bottom w:val="single" w:color="auto" w:sz="6" w:space="0"/>
            </w:tcBorders>
            <w:noWrap w:val="0"/>
            <w:vAlign w:val="top"/>
          </w:tcPr>
          <w:p w14:paraId="06C67E0F">
            <w:pPr>
              <w:adjustRightInd w:val="0"/>
              <w:snapToGrid w:val="0"/>
              <w:spacing w:before="156" w:beforeLines="50" w:line="360" w:lineRule="auto"/>
              <w:jc w:val="center"/>
              <w:rPr>
                <w:b/>
                <w:color w:val="auto"/>
              </w:rPr>
            </w:pPr>
            <w:r>
              <w:rPr>
                <w:rFonts w:hint="eastAsia"/>
                <w:b/>
                <w:color w:val="auto"/>
              </w:rPr>
              <w:t>条款名称</w:t>
            </w:r>
          </w:p>
        </w:tc>
        <w:tc>
          <w:tcPr>
            <w:tcW w:w="4338" w:type="dxa"/>
            <w:tcBorders>
              <w:top w:val="double" w:color="auto" w:sz="4" w:space="0"/>
              <w:bottom w:val="single" w:color="auto" w:sz="6" w:space="0"/>
            </w:tcBorders>
            <w:noWrap w:val="0"/>
            <w:vAlign w:val="top"/>
          </w:tcPr>
          <w:p w14:paraId="6E0F249A">
            <w:pPr>
              <w:adjustRightInd w:val="0"/>
              <w:snapToGrid w:val="0"/>
              <w:spacing w:before="156" w:beforeLines="50" w:line="360" w:lineRule="auto"/>
              <w:jc w:val="center"/>
              <w:rPr>
                <w:b/>
                <w:color w:val="auto"/>
              </w:rPr>
            </w:pPr>
            <w:r>
              <w:rPr>
                <w:rFonts w:hint="eastAsia"/>
                <w:b/>
                <w:color w:val="auto"/>
              </w:rPr>
              <w:t>编列内容规定</w:t>
            </w:r>
          </w:p>
        </w:tc>
      </w:tr>
      <w:tr w14:paraId="51BB8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0"/>
            <w:vAlign w:val="center"/>
          </w:tcPr>
          <w:p w14:paraId="266A64AD">
            <w:pPr>
              <w:adjustRightInd w:val="0"/>
              <w:snapToGrid w:val="0"/>
              <w:spacing w:before="156" w:beforeLines="50" w:line="360" w:lineRule="auto"/>
              <w:jc w:val="center"/>
              <w:rPr>
                <w:rFonts w:ascii="宋体" w:hAnsi="宋体" w:eastAsia="宋体"/>
                <w:color w:val="auto"/>
                <w:szCs w:val="21"/>
              </w:rPr>
            </w:pPr>
            <w:r>
              <w:rPr>
                <w:rFonts w:hint="eastAsia" w:ascii="宋体" w:hAnsi="宋体" w:eastAsia="宋体"/>
                <w:color w:val="auto"/>
                <w:szCs w:val="21"/>
              </w:rPr>
              <w:t>第1.3</w:t>
            </w:r>
            <w:r>
              <w:rPr>
                <w:rFonts w:hint="eastAsia" w:ascii="宋体" w:hAnsi="宋体" w:eastAsia="宋体" w:cs="宋体"/>
                <w:color w:val="auto"/>
                <w:kern w:val="0"/>
                <w:szCs w:val="21"/>
                <w:lang w:val="zh-CN"/>
              </w:rPr>
              <w:t>款</w:t>
            </w:r>
          </w:p>
        </w:tc>
        <w:tc>
          <w:tcPr>
            <w:tcW w:w="2867" w:type="dxa"/>
            <w:tcBorders>
              <w:top w:val="single" w:color="auto" w:sz="6" w:space="0"/>
              <w:bottom w:val="single" w:color="auto" w:sz="6" w:space="0"/>
            </w:tcBorders>
            <w:noWrap w:val="0"/>
            <w:vAlign w:val="center"/>
          </w:tcPr>
          <w:p w14:paraId="0EA0A0AA">
            <w:pPr>
              <w:adjustRightInd w:val="0"/>
              <w:snapToGrid w:val="0"/>
              <w:spacing w:before="156" w:beforeLines="50" w:line="360" w:lineRule="auto"/>
              <w:jc w:val="center"/>
              <w:rPr>
                <w:rFonts w:ascii="宋体" w:hAnsi="宋体" w:eastAsia="宋体"/>
                <w:color w:val="auto"/>
                <w:szCs w:val="21"/>
              </w:rPr>
            </w:pPr>
            <w:r>
              <w:rPr>
                <w:rFonts w:hint="eastAsia" w:ascii="宋体" w:hAnsi="宋体" w:eastAsia="宋体"/>
                <w:color w:val="auto"/>
                <w:szCs w:val="21"/>
              </w:rPr>
              <w:t>评标方法</w:t>
            </w:r>
          </w:p>
        </w:tc>
        <w:tc>
          <w:tcPr>
            <w:tcW w:w="4338" w:type="dxa"/>
            <w:tcBorders>
              <w:top w:val="single" w:color="auto" w:sz="6" w:space="0"/>
              <w:bottom w:val="single" w:color="auto" w:sz="6" w:space="0"/>
            </w:tcBorders>
            <w:noWrap w:val="0"/>
            <w:vAlign w:val="center"/>
          </w:tcPr>
          <w:p w14:paraId="26539FC2">
            <w:pPr>
              <w:widowControl w:val="0"/>
              <w:adjustRightInd w:val="0"/>
              <w:snapToGrid w:val="0"/>
              <w:spacing w:before="156" w:beforeLines="50" w:line="360" w:lineRule="auto"/>
              <w:textAlignment w:val="auto"/>
              <w:rPr>
                <w:rFonts w:ascii="宋体" w:hAnsi="宋体" w:eastAsia="宋体"/>
                <w:color w:val="auto"/>
                <w:szCs w:val="21"/>
              </w:rPr>
            </w:pPr>
            <w:r>
              <w:rPr>
                <w:rFonts w:hint="eastAsia" w:ascii="Times New Roman" w:hAnsi="Times New Roman" w:cs="Times New Roman"/>
                <w:color w:val="auto"/>
              </w:rPr>
              <w:t>综合评分法</w:t>
            </w:r>
          </w:p>
        </w:tc>
      </w:tr>
      <w:tr w14:paraId="28A885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0"/>
            <w:vAlign w:val="center"/>
          </w:tcPr>
          <w:p w14:paraId="73995505">
            <w:pPr>
              <w:adjustRightInd w:val="0"/>
              <w:snapToGrid w:val="0"/>
              <w:spacing w:before="156" w:beforeLines="50" w:line="360" w:lineRule="auto"/>
              <w:jc w:val="center"/>
              <w:rPr>
                <w:rFonts w:ascii="宋体" w:hAnsi="宋体" w:eastAsia="宋体"/>
                <w:color w:val="auto"/>
                <w:szCs w:val="21"/>
              </w:rPr>
            </w:pPr>
            <w:r>
              <w:rPr>
                <w:rFonts w:hint="eastAsia" w:ascii="宋体" w:hAnsi="宋体" w:eastAsia="宋体"/>
                <w:color w:val="auto"/>
                <w:szCs w:val="21"/>
              </w:rPr>
              <w:t>第3.4</w:t>
            </w:r>
            <w:r>
              <w:rPr>
                <w:rFonts w:hint="eastAsia" w:ascii="宋体" w:hAnsi="宋体" w:eastAsia="宋体" w:cs="宋体"/>
                <w:color w:val="auto"/>
                <w:kern w:val="0"/>
                <w:szCs w:val="21"/>
                <w:lang w:val="zh-CN"/>
              </w:rPr>
              <w:t>款</w:t>
            </w:r>
          </w:p>
        </w:tc>
        <w:tc>
          <w:tcPr>
            <w:tcW w:w="2867" w:type="dxa"/>
            <w:tcBorders>
              <w:top w:val="single" w:color="auto" w:sz="6" w:space="0"/>
              <w:bottom w:val="single" w:color="auto" w:sz="6" w:space="0"/>
            </w:tcBorders>
            <w:noWrap w:val="0"/>
            <w:vAlign w:val="center"/>
          </w:tcPr>
          <w:p w14:paraId="154FBB30">
            <w:pPr>
              <w:adjustRightInd w:val="0"/>
              <w:snapToGrid w:val="0"/>
              <w:spacing w:before="156" w:beforeLines="50" w:line="360" w:lineRule="auto"/>
              <w:jc w:val="center"/>
              <w:rPr>
                <w:rFonts w:hint="default" w:ascii="宋体" w:hAnsi="宋体" w:eastAsia="宋体"/>
                <w:bCs/>
                <w:color w:val="auto"/>
                <w:szCs w:val="21"/>
                <w:lang w:val="en-US" w:eastAsia="zh-CN"/>
              </w:rPr>
            </w:pPr>
            <w:r>
              <w:rPr>
                <w:rFonts w:hint="eastAsia" w:ascii="宋体" w:hAnsi="宋体" w:eastAsia="宋体"/>
                <w:bCs/>
                <w:color w:val="auto"/>
                <w:szCs w:val="21"/>
              </w:rPr>
              <w:t>非单一产品采购项目的核心产品</w:t>
            </w:r>
            <w:r>
              <w:rPr>
                <w:rFonts w:hint="eastAsia" w:ascii="宋体" w:hAnsi="宋体"/>
                <w:bCs/>
                <w:color w:val="auto"/>
                <w:szCs w:val="21"/>
                <w:lang w:val="en-US" w:eastAsia="zh-CN"/>
              </w:rPr>
              <w:t>(本项目不适用)</w:t>
            </w:r>
          </w:p>
        </w:tc>
        <w:tc>
          <w:tcPr>
            <w:tcW w:w="4338" w:type="dxa"/>
            <w:tcBorders>
              <w:top w:val="single" w:color="auto" w:sz="6" w:space="0"/>
              <w:bottom w:val="single" w:color="auto" w:sz="6" w:space="0"/>
            </w:tcBorders>
            <w:noWrap w:val="0"/>
            <w:vAlign w:val="center"/>
          </w:tcPr>
          <w:p w14:paraId="3F29F1B4">
            <w:pPr>
              <w:widowControl w:val="0"/>
              <w:adjustRightInd w:val="0"/>
              <w:snapToGrid w:val="0"/>
              <w:spacing w:before="156" w:beforeLines="50" w:line="360" w:lineRule="auto"/>
              <w:textAlignment w:val="auto"/>
              <w:rPr>
                <w:rFonts w:ascii="Times New Roman" w:hAnsi="Times New Roman" w:cs="Times New Roman"/>
                <w:color w:val="auto"/>
              </w:rPr>
            </w:pPr>
            <w:r>
              <w:rPr>
                <w:rFonts w:hint="eastAsia" w:ascii="MS Gothic" w:hAnsi="MS Gothic" w:eastAsia="MS Gothic" w:cs="MS Gothic"/>
                <w:color w:val="auto"/>
                <w:szCs w:val="21"/>
              </w:rPr>
              <w:sym w:font="Wingdings" w:char="00A8"/>
            </w:r>
            <w:r>
              <w:rPr>
                <w:rFonts w:hint="eastAsia" w:ascii="Times New Roman" w:hAnsi="Times New Roman" w:cs="Times New Roman"/>
                <w:color w:val="auto"/>
              </w:rPr>
              <w:t>单一产品采购，此项不适用</w:t>
            </w:r>
          </w:p>
          <w:p w14:paraId="07CAB49B">
            <w:pPr>
              <w:widowControl w:val="0"/>
              <w:adjustRightInd w:val="0"/>
              <w:snapToGrid w:val="0"/>
              <w:spacing w:before="156" w:beforeLines="50" w:line="360" w:lineRule="auto"/>
              <w:textAlignment w:val="auto"/>
              <w:rPr>
                <w:rFonts w:hint="default"/>
                <w:color w:val="auto"/>
                <w:szCs w:val="21"/>
                <w:u w:val="single"/>
                <w:lang w:val="en-US" w:eastAsia="zh-CN"/>
              </w:rPr>
            </w:pPr>
            <w:r>
              <w:rPr>
                <w:rFonts w:hint="eastAsia" w:ascii="MS Gothic" w:hAnsi="MS Gothic" w:eastAsia="MS Gothic" w:cs="MS Gothic"/>
                <w:color w:val="auto"/>
                <w:szCs w:val="21"/>
              </w:rPr>
              <w:sym w:font="Wingdings" w:char="00A8"/>
            </w:r>
            <w:r>
              <w:rPr>
                <w:rFonts w:hint="eastAsia" w:ascii="Times New Roman" w:hAnsi="Times New Roman" w:cs="Times New Roman"/>
                <w:color w:val="auto"/>
              </w:rPr>
              <w:t>非单一产品采购，核心产品为：</w:t>
            </w:r>
            <w:r>
              <w:rPr>
                <w:rFonts w:hint="eastAsia"/>
                <w:color w:val="auto"/>
                <w:szCs w:val="21"/>
                <w:u w:val="single"/>
                <w:lang w:val="en-US" w:eastAsia="zh-CN"/>
              </w:rPr>
              <w:t xml:space="preserve"> /  </w:t>
            </w:r>
          </w:p>
          <w:p w14:paraId="5F5169AE">
            <w:pPr>
              <w:widowControl w:val="0"/>
              <w:adjustRightInd w:val="0"/>
              <w:snapToGrid w:val="0"/>
              <w:spacing w:before="156" w:beforeLines="50" w:line="360" w:lineRule="auto"/>
              <w:textAlignment w:val="auto"/>
              <w:rPr>
                <w:rFonts w:ascii="宋体" w:hAnsi="宋体" w:eastAsia="宋体"/>
                <w:color w:val="auto"/>
                <w:szCs w:val="21"/>
              </w:rPr>
            </w:pPr>
            <w:r>
              <w:rPr>
                <w:rFonts w:hint="eastAsia" w:ascii="MS Gothic" w:hAnsi="MS Gothic" w:eastAsia="MS Gothic" w:cs="MS Gothic"/>
                <w:color w:val="auto"/>
                <w:szCs w:val="21"/>
              </w:rPr>
              <w:sym w:font="Wingdings" w:char="00A8"/>
            </w:r>
            <w:r>
              <w:rPr>
                <w:rFonts w:hint="eastAsia" w:ascii="Times New Roman" w:hAnsi="Times New Roman" w:cs="Times New Roman"/>
                <w:color w:val="auto"/>
              </w:rPr>
              <w:t>多个核心产品，有任意</w:t>
            </w:r>
            <w:r>
              <w:rPr>
                <w:rFonts w:hint="eastAsia" w:ascii="Times New Roman" w:hAnsi="Times New Roman" w:cs="Times New Roman"/>
                <w:color w:val="auto"/>
                <w:u w:val="single"/>
              </w:rPr>
              <w:t xml:space="preserve"> </w:t>
            </w:r>
            <w:r>
              <w:rPr>
                <w:rFonts w:hint="eastAsia" w:cs="Times New Roman"/>
                <w:color w:val="auto"/>
                <w:u w:val="single"/>
                <w:lang w:val="en-US" w:eastAsia="zh-CN"/>
              </w:rPr>
              <w:t xml:space="preserve"> </w:t>
            </w:r>
            <w:r>
              <w:rPr>
                <w:rFonts w:hint="eastAsia" w:ascii="Times New Roman" w:hAnsi="Times New Roman" w:cs="Times New Roman"/>
                <w:color w:val="auto"/>
                <w:u w:val="single"/>
              </w:rPr>
              <w:t xml:space="preserve"> </w:t>
            </w:r>
            <w:r>
              <w:rPr>
                <w:rFonts w:hint="eastAsia" w:ascii="Times New Roman" w:hAnsi="Times New Roman" w:cs="Times New Roman"/>
                <w:color w:val="auto"/>
              </w:rPr>
              <w:t>个核心产品相同的投标人认定为同一个投标人。</w:t>
            </w:r>
          </w:p>
        </w:tc>
      </w:tr>
      <w:tr w14:paraId="5E1956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0"/>
            <w:vAlign w:val="center"/>
          </w:tcPr>
          <w:p w14:paraId="65DAE69D">
            <w:pPr>
              <w:adjustRightInd w:val="0"/>
              <w:snapToGrid w:val="0"/>
              <w:spacing w:before="156" w:beforeLines="50" w:line="360" w:lineRule="auto"/>
              <w:jc w:val="center"/>
              <w:rPr>
                <w:rFonts w:ascii="宋体" w:hAnsi="宋体" w:eastAsia="宋体"/>
                <w:color w:val="auto"/>
                <w:szCs w:val="21"/>
              </w:rPr>
            </w:pPr>
            <w:r>
              <w:rPr>
                <w:rFonts w:hint="eastAsia" w:ascii="宋体" w:hAnsi="宋体" w:eastAsia="宋体"/>
                <w:color w:val="auto"/>
                <w:szCs w:val="21"/>
              </w:rPr>
              <w:t>第4.2</w:t>
            </w:r>
            <w:r>
              <w:rPr>
                <w:rFonts w:hint="eastAsia" w:ascii="宋体" w:hAnsi="宋体" w:eastAsia="宋体" w:cs="宋体"/>
                <w:color w:val="auto"/>
                <w:kern w:val="0"/>
                <w:szCs w:val="21"/>
                <w:lang w:val="zh-CN"/>
              </w:rPr>
              <w:t>款</w:t>
            </w:r>
          </w:p>
        </w:tc>
        <w:tc>
          <w:tcPr>
            <w:tcW w:w="2867" w:type="dxa"/>
            <w:tcBorders>
              <w:top w:val="single" w:color="auto" w:sz="6" w:space="0"/>
              <w:bottom w:val="single" w:color="auto" w:sz="6" w:space="0"/>
            </w:tcBorders>
            <w:noWrap w:val="0"/>
            <w:vAlign w:val="center"/>
          </w:tcPr>
          <w:p w14:paraId="54AA95B6">
            <w:pPr>
              <w:adjustRightInd w:val="0"/>
              <w:snapToGrid w:val="0"/>
              <w:spacing w:before="156" w:beforeLines="50" w:line="360" w:lineRule="auto"/>
              <w:jc w:val="center"/>
              <w:rPr>
                <w:rFonts w:ascii="宋体" w:hAnsi="宋体" w:eastAsia="宋体"/>
                <w:color w:val="auto"/>
                <w:szCs w:val="21"/>
              </w:rPr>
            </w:pPr>
            <w:r>
              <w:rPr>
                <w:rFonts w:hint="eastAsia" w:ascii="宋体" w:hAnsi="宋体" w:eastAsia="宋体"/>
                <w:color w:val="auto"/>
                <w:szCs w:val="21"/>
              </w:rPr>
              <w:t>投标文件报价出现前后不一致的修正</w:t>
            </w:r>
          </w:p>
        </w:tc>
        <w:tc>
          <w:tcPr>
            <w:tcW w:w="4338" w:type="dxa"/>
            <w:tcBorders>
              <w:top w:val="single" w:color="auto" w:sz="6" w:space="0"/>
              <w:bottom w:val="single" w:color="auto" w:sz="6" w:space="0"/>
            </w:tcBorders>
            <w:noWrap w:val="0"/>
            <w:vAlign w:val="center"/>
          </w:tcPr>
          <w:p w14:paraId="53C0208B">
            <w:pPr>
              <w:widowControl w:val="0"/>
              <w:adjustRightInd w:val="0"/>
              <w:snapToGrid w:val="0"/>
              <w:spacing w:before="156" w:beforeLines="50" w:line="360" w:lineRule="auto"/>
              <w:textAlignment w:val="auto"/>
              <w:rPr>
                <w:color w:val="auto"/>
                <w:szCs w:val="21"/>
              </w:rPr>
            </w:pPr>
            <w:r>
              <w:rPr>
                <w:rFonts w:hint="eastAsia" w:ascii="Times New Roman" w:hAnsi="Times New Roman" w:cs="Times New Roman"/>
                <w:color w:val="auto"/>
              </w:rPr>
              <w:t>按正文部分规定修正</w:t>
            </w:r>
          </w:p>
        </w:tc>
      </w:tr>
      <w:tr w14:paraId="668E33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0"/>
            <w:vAlign w:val="center"/>
          </w:tcPr>
          <w:p w14:paraId="40B63A6B">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第5.2（1）</w:t>
            </w:r>
            <w:r>
              <w:rPr>
                <w:rFonts w:hint="eastAsia" w:ascii="宋体" w:hAnsi="宋体" w:eastAsia="宋体" w:cs="宋体"/>
                <w:color w:val="auto"/>
                <w:kern w:val="0"/>
                <w:szCs w:val="21"/>
                <w:lang w:val="zh-CN"/>
              </w:rPr>
              <w:t>项</w:t>
            </w:r>
          </w:p>
        </w:tc>
        <w:tc>
          <w:tcPr>
            <w:tcW w:w="2867" w:type="dxa"/>
            <w:tcBorders>
              <w:top w:val="single" w:color="auto" w:sz="6" w:space="0"/>
              <w:bottom w:val="single" w:color="auto" w:sz="6" w:space="0"/>
            </w:tcBorders>
            <w:noWrap w:val="0"/>
            <w:tcMar>
              <w:top w:w="0" w:type="dxa"/>
              <w:left w:w="0" w:type="dxa"/>
              <w:bottom w:w="0" w:type="dxa"/>
              <w:right w:w="0" w:type="dxa"/>
            </w:tcMar>
            <w:vAlign w:val="center"/>
          </w:tcPr>
          <w:p w14:paraId="195A9EBB">
            <w:pPr>
              <w:adjustRightInd w:val="0"/>
              <w:snapToGrid w:val="0"/>
              <w:spacing w:line="360" w:lineRule="auto"/>
              <w:jc w:val="center"/>
              <w:rPr>
                <w:rFonts w:ascii="宋体" w:hAnsi="宋体" w:eastAsia="宋体"/>
                <w:color w:val="auto"/>
                <w:szCs w:val="21"/>
              </w:rPr>
            </w:pPr>
            <w:r>
              <w:rPr>
                <w:rFonts w:hint="eastAsia" w:ascii="宋体" w:hAnsi="宋体" w:eastAsia="宋体"/>
                <w:color w:val="auto"/>
                <w:szCs w:val="21"/>
              </w:rPr>
              <w:t>相同品牌产品投标报价相同的</w:t>
            </w:r>
          </w:p>
        </w:tc>
        <w:tc>
          <w:tcPr>
            <w:tcW w:w="4338" w:type="dxa"/>
            <w:tcBorders>
              <w:top w:val="single" w:color="auto" w:sz="6" w:space="0"/>
              <w:bottom w:val="single" w:color="auto" w:sz="6" w:space="0"/>
            </w:tcBorders>
            <w:noWrap w:val="0"/>
            <w:vAlign w:val="center"/>
          </w:tcPr>
          <w:p w14:paraId="7AF1081D">
            <w:pPr>
              <w:widowControl w:val="0"/>
              <w:adjustRightInd w:val="0"/>
              <w:snapToGrid w:val="0"/>
              <w:spacing w:before="156" w:beforeLines="50" w:line="360" w:lineRule="auto"/>
              <w:textAlignment w:val="auto"/>
              <w:rPr>
                <w:color w:val="auto"/>
                <w:szCs w:val="21"/>
              </w:rPr>
            </w:pPr>
            <w:r>
              <w:rPr>
                <w:rFonts w:hint="eastAsia" w:ascii="宋体" w:hAnsi="宋体" w:cs="Times New Roman"/>
                <w:bCs/>
                <w:color w:val="auto"/>
                <w:szCs w:val="21"/>
              </w:rPr>
              <w:t>采取随机抽取方式确定参加评标的投标人</w:t>
            </w:r>
          </w:p>
        </w:tc>
      </w:tr>
      <w:tr w14:paraId="6D6A85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584" w:type="dxa"/>
            <w:tcBorders>
              <w:top w:val="single" w:color="auto" w:sz="6" w:space="0"/>
              <w:bottom w:val="single" w:color="auto" w:sz="6" w:space="0"/>
            </w:tcBorders>
            <w:noWrap w:val="0"/>
            <w:vAlign w:val="center"/>
          </w:tcPr>
          <w:p w14:paraId="03DB2ADE">
            <w:pPr>
              <w:adjustRightInd w:val="0"/>
              <w:snapToGrid w:val="0"/>
              <w:spacing w:before="156" w:beforeLines="50" w:line="360" w:lineRule="auto"/>
              <w:jc w:val="center"/>
              <w:rPr>
                <w:rFonts w:ascii="宋体" w:hAnsi="宋体" w:eastAsia="宋体"/>
                <w:color w:val="auto"/>
                <w:szCs w:val="21"/>
              </w:rPr>
            </w:pPr>
            <w:r>
              <w:rPr>
                <w:rFonts w:hint="eastAsia" w:ascii="宋体" w:hAnsi="宋体" w:eastAsia="宋体"/>
                <w:color w:val="auto"/>
                <w:szCs w:val="21"/>
              </w:rPr>
              <w:t>第5.2（2）</w:t>
            </w:r>
            <w:r>
              <w:rPr>
                <w:rFonts w:hint="eastAsia" w:ascii="宋体" w:hAnsi="宋体" w:eastAsia="宋体" w:cs="宋体"/>
                <w:color w:val="auto"/>
                <w:kern w:val="0"/>
                <w:szCs w:val="21"/>
                <w:lang w:val="zh-CN"/>
              </w:rPr>
              <w:t>项</w:t>
            </w:r>
          </w:p>
        </w:tc>
        <w:tc>
          <w:tcPr>
            <w:tcW w:w="2867" w:type="dxa"/>
            <w:tcBorders>
              <w:top w:val="single" w:color="auto" w:sz="6" w:space="0"/>
              <w:bottom w:val="single" w:color="auto" w:sz="6" w:space="0"/>
            </w:tcBorders>
            <w:noWrap w:val="0"/>
            <w:vAlign w:val="center"/>
          </w:tcPr>
          <w:p w14:paraId="47E8EDD1">
            <w:pPr>
              <w:adjustRightInd w:val="0"/>
              <w:snapToGrid w:val="0"/>
              <w:spacing w:before="156" w:beforeLines="50" w:line="360" w:lineRule="auto"/>
              <w:jc w:val="center"/>
              <w:rPr>
                <w:rFonts w:hint="eastAsia" w:ascii="宋体" w:hAnsi="宋体" w:eastAsia="宋体"/>
                <w:bCs/>
                <w:color w:val="auto"/>
                <w:szCs w:val="21"/>
                <w:lang w:eastAsia="zh-CN"/>
              </w:rPr>
            </w:pPr>
            <w:r>
              <w:rPr>
                <w:rFonts w:hint="eastAsia" w:ascii="宋体" w:hAnsi="宋体" w:eastAsia="宋体"/>
                <w:bCs/>
                <w:color w:val="auto"/>
                <w:szCs w:val="21"/>
              </w:rPr>
              <w:t>相同品牌产品评审得分相同的规定</w:t>
            </w:r>
            <w:r>
              <w:rPr>
                <w:rFonts w:hint="eastAsia" w:ascii="宋体" w:hAnsi="宋体"/>
                <w:bCs/>
                <w:color w:val="auto"/>
                <w:szCs w:val="21"/>
                <w:lang w:eastAsia="zh-CN"/>
              </w:rPr>
              <w:t>（本项目不适用）</w:t>
            </w:r>
          </w:p>
        </w:tc>
        <w:tc>
          <w:tcPr>
            <w:tcW w:w="4338" w:type="dxa"/>
            <w:tcBorders>
              <w:top w:val="single" w:color="auto" w:sz="6" w:space="0"/>
              <w:bottom w:val="single" w:color="auto" w:sz="6" w:space="0"/>
            </w:tcBorders>
            <w:noWrap w:val="0"/>
            <w:vAlign w:val="center"/>
          </w:tcPr>
          <w:p w14:paraId="3E6BB483">
            <w:pPr>
              <w:widowControl w:val="0"/>
              <w:adjustRightInd w:val="0"/>
              <w:snapToGrid w:val="0"/>
              <w:spacing w:line="360" w:lineRule="auto"/>
              <w:textAlignment w:val="auto"/>
              <w:rPr>
                <w:rFonts w:ascii="MS Gothic" w:hAnsi="MS Gothic" w:cs="MS Gothic"/>
                <w:color w:val="auto"/>
                <w:szCs w:val="21"/>
              </w:rPr>
            </w:pPr>
            <w:r>
              <w:rPr>
                <w:rFonts w:hint="eastAsia" w:ascii="MS Gothic" w:hAnsi="MS Gothic" w:cs="MS Gothic"/>
                <w:color w:val="auto"/>
                <w:szCs w:val="21"/>
              </w:rPr>
              <w:t>依次采取下述方式：</w:t>
            </w:r>
          </w:p>
          <w:p w14:paraId="6233BA8F">
            <w:pPr>
              <w:widowControl w:val="0"/>
              <w:adjustRightInd w:val="0"/>
              <w:snapToGrid w:val="0"/>
              <w:spacing w:line="360" w:lineRule="auto"/>
              <w:textAlignment w:val="auto"/>
              <w:rPr>
                <w:rFonts w:ascii="MS Gothic" w:hAnsi="MS Gothic" w:cs="MS Gothic"/>
                <w:color w:val="auto"/>
                <w:szCs w:val="21"/>
              </w:rPr>
            </w:pPr>
            <w:r>
              <w:rPr>
                <w:rFonts w:hint="eastAsia" w:ascii="MS Gothic" w:hAnsi="MS Gothic" w:eastAsia="MS Gothic" w:cs="MS Gothic"/>
                <w:color w:val="auto"/>
                <w:szCs w:val="21"/>
              </w:rPr>
              <w:t>☐</w:t>
            </w:r>
            <w:r>
              <w:rPr>
                <w:rFonts w:hint="eastAsia" w:ascii="宋体" w:hAnsi="宋体" w:cs="Times New Roman"/>
                <w:color w:val="auto"/>
                <w:szCs w:val="21"/>
              </w:rPr>
              <w:t>报价最低的获得</w:t>
            </w:r>
            <w:r>
              <w:rPr>
                <w:rFonts w:hint="eastAsia" w:ascii="宋体" w:hAnsi="宋体" w:cs="Times New Roman"/>
                <w:bCs/>
                <w:color w:val="auto"/>
                <w:szCs w:val="21"/>
              </w:rPr>
              <w:t>中标人推荐资格</w:t>
            </w:r>
          </w:p>
          <w:p w14:paraId="0B8D5803">
            <w:pPr>
              <w:widowControl w:val="0"/>
              <w:adjustRightInd w:val="0"/>
              <w:snapToGrid w:val="0"/>
              <w:spacing w:line="360" w:lineRule="auto"/>
              <w:textAlignment w:val="auto"/>
              <w:rPr>
                <w:rFonts w:ascii="MS Gothic" w:hAnsi="MS Gothic" w:cs="MS Gothic"/>
                <w:color w:val="auto"/>
                <w:szCs w:val="21"/>
              </w:rPr>
            </w:pPr>
            <w:r>
              <w:rPr>
                <w:rFonts w:hint="eastAsia" w:ascii="MS Gothic" w:hAnsi="MS Gothic" w:eastAsia="MS Gothic" w:cs="MS Gothic"/>
                <w:color w:val="auto"/>
                <w:szCs w:val="21"/>
              </w:rPr>
              <w:t>☐</w:t>
            </w:r>
            <w:r>
              <w:rPr>
                <w:rFonts w:hint="eastAsia" w:ascii="MS Gothic" w:hAnsi="MS Gothic" w:cs="MS Gothic"/>
                <w:color w:val="auto"/>
                <w:szCs w:val="21"/>
              </w:rPr>
              <w:t>技术得分最高</w:t>
            </w:r>
            <w:r>
              <w:rPr>
                <w:rFonts w:hint="eastAsia" w:ascii="宋体" w:hAnsi="宋体" w:cs="Times New Roman"/>
                <w:color w:val="auto"/>
                <w:szCs w:val="21"/>
              </w:rPr>
              <w:t>的获得</w:t>
            </w:r>
            <w:r>
              <w:rPr>
                <w:rFonts w:hint="eastAsia" w:ascii="宋体" w:hAnsi="宋体" w:cs="Times New Roman"/>
                <w:bCs/>
                <w:color w:val="auto"/>
                <w:szCs w:val="21"/>
              </w:rPr>
              <w:t>中标人推荐资格</w:t>
            </w:r>
          </w:p>
          <w:p w14:paraId="155BFCDA">
            <w:pPr>
              <w:widowControl w:val="0"/>
              <w:adjustRightInd w:val="0"/>
              <w:snapToGrid w:val="0"/>
              <w:spacing w:before="156" w:beforeLines="50" w:line="360" w:lineRule="auto"/>
              <w:textAlignment w:val="auto"/>
              <w:rPr>
                <w:rFonts w:ascii="宋体" w:hAnsi="宋体" w:cs="Times New Roman"/>
                <w:bCs/>
                <w:color w:val="auto"/>
                <w:szCs w:val="21"/>
              </w:rPr>
            </w:pPr>
            <w:r>
              <w:rPr>
                <w:rFonts w:hint="eastAsia" w:ascii="MS Gothic" w:hAnsi="MS Gothic" w:eastAsia="MS Gothic" w:cs="MS Gothic"/>
                <w:color w:val="auto"/>
                <w:szCs w:val="21"/>
              </w:rPr>
              <w:t>☐</w:t>
            </w:r>
            <w:r>
              <w:rPr>
                <w:rFonts w:hint="eastAsia" w:ascii="MS Gothic" w:hAnsi="MS Gothic" w:cs="MS Gothic"/>
                <w:color w:val="auto"/>
                <w:szCs w:val="21"/>
              </w:rPr>
              <w:t>商务得分最高</w:t>
            </w:r>
            <w:r>
              <w:rPr>
                <w:rFonts w:hint="eastAsia" w:ascii="宋体" w:hAnsi="宋体" w:cs="Times New Roman"/>
                <w:color w:val="auto"/>
                <w:szCs w:val="21"/>
              </w:rPr>
              <w:t>的获得</w:t>
            </w:r>
            <w:r>
              <w:rPr>
                <w:rFonts w:hint="eastAsia" w:ascii="宋体" w:hAnsi="宋体" w:cs="Times New Roman"/>
                <w:bCs/>
                <w:color w:val="auto"/>
                <w:szCs w:val="21"/>
              </w:rPr>
              <w:t>中标人推荐资格</w:t>
            </w:r>
          </w:p>
          <w:p w14:paraId="7730BB61">
            <w:pPr>
              <w:widowControl w:val="0"/>
              <w:adjustRightInd w:val="0"/>
              <w:snapToGrid w:val="0"/>
              <w:spacing w:before="156" w:beforeLines="50" w:line="360" w:lineRule="auto"/>
              <w:textAlignment w:val="auto"/>
              <w:rPr>
                <w:color w:val="auto"/>
                <w:szCs w:val="21"/>
              </w:rPr>
            </w:pPr>
            <w:r>
              <w:rPr>
                <w:rFonts w:hint="eastAsia" w:ascii="MS Gothic" w:hAnsi="MS Gothic" w:eastAsia="MS Gothic" w:cs="MS Gothic"/>
                <w:color w:val="auto"/>
                <w:szCs w:val="21"/>
              </w:rPr>
              <w:t>☐</w:t>
            </w:r>
            <w:r>
              <w:rPr>
                <w:rFonts w:hint="eastAsia" w:ascii="宋体" w:hAnsi="宋体" w:cs="Times New Roman"/>
                <w:bCs/>
                <w:color w:val="auto"/>
                <w:szCs w:val="21"/>
              </w:rPr>
              <w:t>采取随机抽取方式确定中标人推荐资格</w:t>
            </w:r>
          </w:p>
        </w:tc>
      </w:tr>
      <w:tr w14:paraId="2E460B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584" w:type="dxa"/>
            <w:tcBorders>
              <w:top w:val="single" w:color="auto" w:sz="6" w:space="0"/>
              <w:bottom w:val="double" w:color="auto" w:sz="4" w:space="0"/>
            </w:tcBorders>
            <w:noWrap w:val="0"/>
            <w:vAlign w:val="center"/>
          </w:tcPr>
          <w:p w14:paraId="0FA400E0">
            <w:pPr>
              <w:adjustRightInd w:val="0"/>
              <w:snapToGrid w:val="0"/>
              <w:spacing w:before="156" w:beforeLines="50" w:line="360" w:lineRule="auto"/>
              <w:jc w:val="center"/>
              <w:rPr>
                <w:rFonts w:ascii="宋体" w:hAnsi="宋体" w:eastAsia="宋体"/>
                <w:color w:val="auto"/>
                <w:szCs w:val="21"/>
              </w:rPr>
            </w:pPr>
            <w:r>
              <w:rPr>
                <w:rFonts w:hint="eastAsia" w:ascii="宋体" w:hAnsi="宋体" w:eastAsia="宋体"/>
                <w:color w:val="auto"/>
                <w:szCs w:val="21"/>
              </w:rPr>
              <w:t>第6.2</w:t>
            </w:r>
            <w:r>
              <w:rPr>
                <w:rFonts w:hint="eastAsia" w:ascii="宋体" w:hAnsi="宋体" w:eastAsia="宋体" w:cs="宋体"/>
                <w:color w:val="auto"/>
                <w:kern w:val="0"/>
                <w:szCs w:val="21"/>
                <w:lang w:val="zh-CN"/>
              </w:rPr>
              <w:t>款</w:t>
            </w:r>
          </w:p>
        </w:tc>
        <w:tc>
          <w:tcPr>
            <w:tcW w:w="2867" w:type="dxa"/>
            <w:tcBorders>
              <w:top w:val="single" w:color="auto" w:sz="6" w:space="0"/>
              <w:bottom w:val="double" w:color="auto" w:sz="4" w:space="0"/>
              <w:right w:val="single" w:color="auto" w:sz="6" w:space="0"/>
            </w:tcBorders>
            <w:noWrap w:val="0"/>
            <w:vAlign w:val="center"/>
          </w:tcPr>
          <w:p w14:paraId="55DB8C9A">
            <w:pPr>
              <w:adjustRightInd w:val="0"/>
              <w:snapToGrid w:val="0"/>
              <w:spacing w:before="156" w:beforeLines="50" w:line="360" w:lineRule="auto"/>
              <w:jc w:val="center"/>
              <w:rPr>
                <w:rFonts w:ascii="宋体" w:hAnsi="宋体" w:eastAsia="宋体"/>
                <w:color w:val="auto"/>
                <w:szCs w:val="21"/>
              </w:rPr>
            </w:pPr>
            <w:r>
              <w:rPr>
                <w:rFonts w:hint="eastAsia" w:ascii="宋体" w:hAnsi="宋体" w:eastAsia="宋体"/>
                <w:color w:val="auto"/>
                <w:szCs w:val="21"/>
              </w:rPr>
              <w:t>中标候选人并列的确定中标人的方式</w:t>
            </w:r>
          </w:p>
        </w:tc>
        <w:tc>
          <w:tcPr>
            <w:tcW w:w="4338" w:type="dxa"/>
            <w:tcBorders>
              <w:top w:val="single" w:color="auto" w:sz="6" w:space="0"/>
              <w:left w:val="single" w:color="auto" w:sz="6" w:space="0"/>
              <w:bottom w:val="double" w:color="auto" w:sz="4" w:space="0"/>
              <w:right w:val="double" w:color="auto" w:sz="4" w:space="0"/>
            </w:tcBorders>
            <w:noWrap w:val="0"/>
            <w:vAlign w:val="center"/>
          </w:tcPr>
          <w:p w14:paraId="58A4F34E">
            <w:pPr>
              <w:widowControl w:val="0"/>
              <w:adjustRightInd w:val="0"/>
              <w:snapToGrid w:val="0"/>
              <w:spacing w:line="360" w:lineRule="auto"/>
              <w:textAlignment w:val="auto"/>
              <w:rPr>
                <w:rFonts w:ascii="MS Gothic" w:hAnsi="MS Gothic" w:cs="MS Gothic"/>
                <w:color w:val="auto"/>
                <w:szCs w:val="21"/>
              </w:rPr>
            </w:pPr>
            <w:r>
              <w:rPr>
                <w:rFonts w:hint="eastAsia" w:ascii="MS Gothic" w:hAnsi="MS Gothic" w:cs="MS Gothic"/>
                <w:color w:val="auto"/>
                <w:szCs w:val="21"/>
              </w:rPr>
              <w:t>综合评分法（依次采取下述方式）</w:t>
            </w:r>
          </w:p>
          <w:p w14:paraId="4949CFF8">
            <w:pPr>
              <w:widowControl w:val="0"/>
              <w:adjustRightInd w:val="0"/>
              <w:snapToGrid w:val="0"/>
              <w:spacing w:line="360" w:lineRule="auto"/>
              <w:textAlignment w:val="auto"/>
              <w:rPr>
                <w:rFonts w:ascii="MS Gothic" w:hAnsi="MS Gothic" w:cs="MS Gothic"/>
                <w:color w:val="auto"/>
                <w:szCs w:val="21"/>
              </w:rPr>
            </w:pPr>
            <w:r>
              <w:rPr>
                <w:rFonts w:hint="eastAsia" w:ascii="MS Gothic" w:hAnsi="MS Gothic" w:eastAsia="MS Gothic" w:cs="MS Gothic"/>
                <w:color w:val="auto"/>
                <w:szCs w:val="21"/>
              </w:rPr>
              <w:sym w:font="Wingdings" w:char="00FE"/>
            </w:r>
            <w:r>
              <w:rPr>
                <w:rFonts w:hint="eastAsia" w:ascii="宋体" w:hAnsi="宋体" w:cs="Times New Roman"/>
                <w:color w:val="auto"/>
                <w:szCs w:val="21"/>
              </w:rPr>
              <w:t>报价最低</w:t>
            </w:r>
          </w:p>
          <w:p w14:paraId="7DE9A3AE">
            <w:pPr>
              <w:widowControl w:val="0"/>
              <w:adjustRightInd w:val="0"/>
              <w:snapToGrid w:val="0"/>
              <w:spacing w:line="360" w:lineRule="auto"/>
              <w:textAlignment w:val="auto"/>
              <w:rPr>
                <w:rFonts w:ascii="MS Gothic" w:hAnsi="MS Gothic" w:cs="MS Gothic"/>
                <w:color w:val="auto"/>
                <w:szCs w:val="21"/>
              </w:rPr>
            </w:pPr>
            <w:r>
              <w:rPr>
                <w:rFonts w:hint="eastAsia" w:ascii="MS Gothic" w:hAnsi="MS Gothic" w:eastAsia="MS Gothic" w:cs="MS Gothic"/>
                <w:color w:val="auto"/>
                <w:szCs w:val="21"/>
              </w:rPr>
              <w:sym w:font="Wingdings" w:char="00FE"/>
            </w:r>
            <w:r>
              <w:rPr>
                <w:rFonts w:hint="eastAsia" w:ascii="MS Gothic" w:hAnsi="MS Gothic" w:cs="MS Gothic"/>
                <w:color w:val="auto"/>
                <w:szCs w:val="21"/>
              </w:rPr>
              <w:t>技术得分最高</w:t>
            </w:r>
          </w:p>
          <w:p w14:paraId="6AD6CC52">
            <w:pPr>
              <w:widowControl w:val="0"/>
              <w:adjustRightInd w:val="0"/>
              <w:snapToGrid w:val="0"/>
              <w:spacing w:line="360" w:lineRule="auto"/>
              <w:textAlignment w:val="auto"/>
              <w:rPr>
                <w:rFonts w:ascii="宋体" w:hAnsi="宋体" w:eastAsia="宋体"/>
                <w:color w:val="auto"/>
                <w:szCs w:val="21"/>
              </w:rPr>
            </w:pPr>
            <w:r>
              <w:rPr>
                <w:rFonts w:hint="eastAsia" w:ascii="MS Gothic" w:hAnsi="MS Gothic" w:eastAsia="MS Gothic" w:cs="MS Gothic"/>
                <w:color w:val="auto"/>
                <w:szCs w:val="21"/>
              </w:rPr>
              <w:sym w:font="Wingdings" w:char="00FE"/>
            </w:r>
            <w:r>
              <w:rPr>
                <w:rFonts w:hint="eastAsia" w:ascii="MS Gothic" w:hAnsi="MS Gothic" w:cs="MS Gothic"/>
                <w:color w:val="auto"/>
                <w:szCs w:val="21"/>
              </w:rPr>
              <w:t>随机抽取</w:t>
            </w:r>
          </w:p>
        </w:tc>
      </w:tr>
    </w:tbl>
    <w:p w14:paraId="5D826C75">
      <w:pPr>
        <w:pStyle w:val="5"/>
        <w:keepNext w:val="0"/>
        <w:keepLines w:val="0"/>
        <w:adjustRightInd w:val="0"/>
        <w:snapToGrid w:val="0"/>
        <w:spacing w:before="156" w:beforeLines="50"/>
        <w:jc w:val="center"/>
        <w:rPr>
          <w:rFonts w:hint="eastAsia" w:ascii="黑体" w:hAnsi="华文中宋" w:eastAsia="黑体"/>
          <w:color w:val="auto"/>
          <w:sz w:val="28"/>
          <w:szCs w:val="28"/>
        </w:rPr>
      </w:pPr>
      <w:bookmarkStart w:id="42" w:name="_Toc30022"/>
    </w:p>
    <w:p w14:paraId="07E91E05">
      <w:pPr>
        <w:rPr>
          <w:rFonts w:hint="eastAsia" w:ascii="黑体" w:hAnsi="华文中宋" w:eastAsia="黑体"/>
          <w:color w:val="auto"/>
          <w:sz w:val="28"/>
          <w:szCs w:val="28"/>
        </w:rPr>
      </w:pPr>
    </w:p>
    <w:p w14:paraId="491C436B">
      <w:pPr>
        <w:pStyle w:val="24"/>
        <w:rPr>
          <w:rFonts w:hint="eastAsia" w:ascii="黑体" w:hAnsi="华文中宋" w:eastAsia="黑体"/>
          <w:color w:val="auto"/>
          <w:sz w:val="28"/>
          <w:szCs w:val="28"/>
        </w:rPr>
      </w:pPr>
    </w:p>
    <w:p w14:paraId="12677D1C">
      <w:pPr>
        <w:pStyle w:val="8"/>
        <w:rPr>
          <w:rFonts w:hint="eastAsia"/>
          <w:color w:val="auto"/>
        </w:rPr>
      </w:pPr>
    </w:p>
    <w:p w14:paraId="4EEEF4CE">
      <w:pPr>
        <w:rPr>
          <w:rFonts w:hint="eastAsia" w:ascii="黑体" w:hAnsi="华文中宋" w:eastAsia="黑体"/>
          <w:color w:val="auto"/>
          <w:sz w:val="28"/>
          <w:szCs w:val="28"/>
        </w:rPr>
      </w:pPr>
      <w:bookmarkStart w:id="43" w:name="_Toc29588"/>
      <w:r>
        <w:rPr>
          <w:rFonts w:hint="eastAsia" w:ascii="黑体" w:hAnsi="华文中宋" w:eastAsia="黑体"/>
          <w:color w:val="auto"/>
          <w:sz w:val="28"/>
          <w:szCs w:val="28"/>
        </w:rPr>
        <w:br w:type="page"/>
      </w:r>
    </w:p>
    <w:p w14:paraId="13E83267">
      <w:pPr>
        <w:pStyle w:val="5"/>
        <w:keepNext w:val="0"/>
        <w:keepLines w:val="0"/>
        <w:adjustRightInd w:val="0"/>
        <w:snapToGrid w:val="0"/>
        <w:spacing w:before="156" w:beforeLines="50"/>
        <w:jc w:val="center"/>
        <w:rPr>
          <w:rFonts w:ascii="黑体" w:hAnsi="华文中宋" w:eastAsia="黑体"/>
          <w:color w:val="auto"/>
          <w:sz w:val="28"/>
          <w:szCs w:val="28"/>
        </w:rPr>
      </w:pPr>
      <w:r>
        <w:rPr>
          <w:rFonts w:hint="eastAsia" w:ascii="黑体" w:hAnsi="华文中宋" w:eastAsia="黑体"/>
          <w:color w:val="auto"/>
          <w:sz w:val="28"/>
          <w:szCs w:val="28"/>
        </w:rPr>
        <w:t>第二节 评标方法及标准</w:t>
      </w:r>
      <w:bookmarkEnd w:id="42"/>
      <w:bookmarkEnd w:id="43"/>
    </w:p>
    <w:p w14:paraId="73DD6A0F">
      <w:pPr>
        <w:pStyle w:val="6"/>
        <w:keepNext w:val="0"/>
        <w:keepLines w:val="0"/>
        <w:adjustRightInd w:val="0"/>
        <w:snapToGrid w:val="0"/>
        <w:spacing w:before="156" w:beforeLines="50" w:after="0" w:line="360" w:lineRule="auto"/>
        <w:rPr>
          <w:rFonts w:ascii="黑体" w:hAnsi="黑体" w:eastAsia="黑体"/>
          <w:color w:val="auto"/>
          <w:sz w:val="24"/>
          <w:szCs w:val="24"/>
        </w:rPr>
      </w:pPr>
      <w:bookmarkStart w:id="44" w:name="_Toc29837"/>
      <w:r>
        <w:rPr>
          <w:rFonts w:hint="eastAsia" w:ascii="黑体" w:hAnsi="黑体" w:eastAsia="黑体"/>
          <w:color w:val="auto"/>
          <w:sz w:val="24"/>
          <w:szCs w:val="24"/>
        </w:rPr>
        <w:t>1．评标方法</w:t>
      </w:r>
      <w:bookmarkEnd w:id="44"/>
    </w:p>
    <w:p w14:paraId="638900E0">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color w:val="auto"/>
          <w:szCs w:val="21"/>
        </w:rPr>
        <w:t>1.1综合评分法，指投标文件满足招标文件全部实质性要求，且按照评审因素的量化指标评审得分最高的投标人为中标候选人的评标方法。</w:t>
      </w:r>
    </w:p>
    <w:p w14:paraId="13176A63">
      <w:pPr>
        <w:pStyle w:val="6"/>
        <w:keepNext w:val="0"/>
        <w:keepLines w:val="0"/>
        <w:adjustRightInd w:val="0"/>
        <w:snapToGrid w:val="0"/>
        <w:spacing w:before="156" w:beforeLines="50" w:after="0" w:line="360" w:lineRule="auto"/>
        <w:rPr>
          <w:rFonts w:ascii="黑体" w:hAnsi="黑体" w:eastAsia="黑体"/>
          <w:bCs w:val="0"/>
          <w:color w:val="auto"/>
          <w:sz w:val="24"/>
          <w:szCs w:val="24"/>
        </w:rPr>
      </w:pPr>
      <w:bookmarkStart w:id="45" w:name="_Toc30040"/>
      <w:r>
        <w:rPr>
          <w:rFonts w:hint="eastAsia" w:ascii="黑体" w:hAnsi="黑体" w:eastAsia="黑体"/>
          <w:bCs w:val="0"/>
          <w:color w:val="auto"/>
          <w:sz w:val="24"/>
          <w:szCs w:val="24"/>
        </w:rPr>
        <w:t>2．评标程序</w:t>
      </w:r>
      <w:bookmarkEnd w:id="45"/>
    </w:p>
    <w:p w14:paraId="371CC3A1">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2.1评标程序分为投标文件符合性审查、澄清有关问题、比较和评价、推荐中标候选人。</w:t>
      </w:r>
    </w:p>
    <w:p w14:paraId="251F5715">
      <w:pPr>
        <w:pStyle w:val="6"/>
        <w:keepNext w:val="0"/>
        <w:keepLines w:val="0"/>
        <w:adjustRightInd w:val="0"/>
        <w:snapToGrid w:val="0"/>
        <w:spacing w:before="156" w:beforeLines="50" w:after="0" w:line="360" w:lineRule="auto"/>
        <w:rPr>
          <w:rFonts w:ascii="黑体" w:hAnsi="黑体" w:eastAsia="黑体"/>
          <w:bCs w:val="0"/>
          <w:color w:val="auto"/>
          <w:sz w:val="24"/>
          <w:szCs w:val="24"/>
        </w:rPr>
      </w:pPr>
      <w:bookmarkStart w:id="46" w:name="_Toc23813"/>
      <w:r>
        <w:rPr>
          <w:rFonts w:hint="eastAsia" w:ascii="黑体" w:hAnsi="黑体" w:eastAsia="黑体"/>
          <w:bCs w:val="0"/>
          <w:color w:val="auto"/>
          <w:sz w:val="24"/>
          <w:szCs w:val="24"/>
        </w:rPr>
        <w:t>3．投标文件的符合性审查</w:t>
      </w:r>
      <w:bookmarkEnd w:id="46"/>
    </w:p>
    <w:p w14:paraId="55254C97">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3.1资格审查结束后，评标委员会依法按照本章第三节“投标文件的符合性审查”规定进行投标文件符合性审查。</w:t>
      </w:r>
    </w:p>
    <w:p w14:paraId="2EDA379C">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3.2符合性审查合格投标人少于3家的，应予废标。</w:t>
      </w:r>
    </w:p>
    <w:p w14:paraId="4F8F7173">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3.3单一产品采购项目：提供相同品牌产品的不同投标人参加同一合同项下投标的，按一家投标人计算。提供不同品牌产品的投标人不足三家的，应予废标。</w:t>
      </w:r>
    </w:p>
    <w:p w14:paraId="44DA38E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3.4非单一产品采购项目：采购人将在</w:t>
      </w:r>
      <w:r>
        <w:rPr>
          <w:rFonts w:hint="eastAsia" w:ascii="宋体" w:hAnsi="宋体" w:eastAsia="宋体"/>
          <w:b/>
          <w:color w:val="auto"/>
          <w:szCs w:val="21"/>
        </w:rPr>
        <w:t>【评标方法及标准前附表】</w:t>
      </w:r>
      <w:r>
        <w:rPr>
          <w:rFonts w:hint="eastAsia" w:ascii="宋体" w:hAnsi="宋体" w:eastAsia="宋体"/>
          <w:color w:val="auto"/>
          <w:szCs w:val="21"/>
        </w:rPr>
        <w:t>中载明核心产品。多家投标人提供的核心产品品牌相同的，视为相同品牌，按本章本节第3.3款规定处理。</w:t>
      </w:r>
    </w:p>
    <w:p w14:paraId="3B5EA4B6">
      <w:pPr>
        <w:pStyle w:val="6"/>
        <w:keepNext w:val="0"/>
        <w:keepLines w:val="0"/>
        <w:adjustRightInd w:val="0"/>
        <w:snapToGrid w:val="0"/>
        <w:spacing w:before="156" w:beforeLines="50" w:after="0" w:line="360" w:lineRule="auto"/>
        <w:rPr>
          <w:rFonts w:ascii="黑体" w:hAnsi="黑体" w:eastAsia="黑体"/>
          <w:bCs w:val="0"/>
          <w:color w:val="auto"/>
          <w:sz w:val="24"/>
          <w:szCs w:val="24"/>
        </w:rPr>
      </w:pPr>
      <w:bookmarkStart w:id="47" w:name="_Toc30211"/>
      <w:r>
        <w:rPr>
          <w:rFonts w:hint="eastAsia" w:ascii="黑体" w:hAnsi="黑体" w:eastAsia="黑体"/>
          <w:bCs w:val="0"/>
          <w:color w:val="auto"/>
          <w:sz w:val="24"/>
          <w:szCs w:val="24"/>
        </w:rPr>
        <w:t>4．投标文件的澄清</w:t>
      </w:r>
      <w:bookmarkEnd w:id="47"/>
    </w:p>
    <w:p w14:paraId="55EEFC67">
      <w:pPr>
        <w:adjustRightInd w:val="0"/>
        <w:snapToGrid w:val="0"/>
        <w:spacing w:before="156" w:beforeLines="50" w:line="360" w:lineRule="auto"/>
        <w:ind w:firstLine="420" w:firstLineChars="200"/>
        <w:jc w:val="left"/>
        <w:rPr>
          <w:rFonts w:hint="eastAsia" w:ascii="宋体" w:hAnsi="宋体" w:eastAsia="宋体"/>
          <w:color w:val="auto"/>
          <w:szCs w:val="21"/>
          <w:lang w:eastAsia="zh-CN"/>
        </w:rPr>
      </w:pPr>
      <w:r>
        <w:rPr>
          <w:rFonts w:hint="eastAsia" w:ascii="宋体" w:hAnsi="宋体" w:eastAsia="宋体"/>
          <w:color w:val="auto"/>
          <w:szCs w:val="21"/>
        </w:rPr>
        <w:t>4.1对于投标文件中含义不明确、同类问题表述不一致或者有明显文字和计算错误的内容，评标委员会</w:t>
      </w:r>
      <w:r>
        <w:rPr>
          <w:rFonts w:hint="eastAsia" w:ascii="宋体" w:hAnsi="宋体"/>
          <w:color w:val="auto"/>
          <w:szCs w:val="21"/>
          <w:lang w:eastAsia="zh-CN"/>
        </w:rPr>
        <w:t>当场</w:t>
      </w:r>
      <w:r>
        <w:rPr>
          <w:rFonts w:hint="eastAsia" w:ascii="宋体" w:hAnsi="宋体" w:eastAsia="宋体"/>
          <w:color w:val="auto"/>
          <w:szCs w:val="21"/>
        </w:rPr>
        <w:t>要求投标人作出必要的澄清、说明或者补正</w:t>
      </w:r>
      <w:r>
        <w:rPr>
          <w:rFonts w:hint="eastAsia" w:ascii="宋体" w:hAnsi="宋体"/>
          <w:color w:val="auto"/>
          <w:szCs w:val="21"/>
          <w:lang w:eastAsia="zh-CN"/>
        </w:rPr>
        <w:t>，采购人详细记录，并请</w:t>
      </w:r>
      <w:r>
        <w:rPr>
          <w:rFonts w:hint="eastAsia" w:ascii="宋体" w:hAnsi="宋体" w:eastAsia="宋体"/>
          <w:color w:val="auto"/>
          <w:szCs w:val="21"/>
        </w:rPr>
        <w:t>作出澄清、说明或者补正</w:t>
      </w:r>
      <w:r>
        <w:rPr>
          <w:rFonts w:hint="eastAsia" w:ascii="宋体" w:hAnsi="宋体"/>
          <w:color w:val="auto"/>
          <w:szCs w:val="21"/>
          <w:lang w:eastAsia="zh-CN"/>
        </w:rPr>
        <w:t>的投标人</w:t>
      </w:r>
      <w:r>
        <w:rPr>
          <w:rFonts w:hint="eastAsia" w:ascii="宋体" w:hAnsi="宋体" w:eastAsia="宋体"/>
          <w:color w:val="auto"/>
          <w:szCs w:val="21"/>
        </w:rPr>
        <w:t>法定代表人或其授权的代表</w:t>
      </w:r>
      <w:r>
        <w:rPr>
          <w:rFonts w:hint="eastAsia" w:ascii="宋体" w:hAnsi="宋体"/>
          <w:color w:val="auto"/>
          <w:szCs w:val="21"/>
          <w:lang w:eastAsia="zh-CN"/>
        </w:rPr>
        <w:t>签字确认。</w:t>
      </w:r>
    </w:p>
    <w:p w14:paraId="68084C4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4.2投标文件的投标报价出现前后不一致的，除</w:t>
      </w:r>
      <w:r>
        <w:rPr>
          <w:rFonts w:hint="eastAsia" w:ascii="宋体" w:hAnsi="宋体" w:eastAsia="宋体"/>
          <w:b/>
          <w:color w:val="auto"/>
          <w:szCs w:val="21"/>
        </w:rPr>
        <w:t>【评标方法及标准前附表】</w:t>
      </w:r>
      <w:r>
        <w:rPr>
          <w:rFonts w:hint="eastAsia" w:ascii="宋体" w:hAnsi="宋体" w:eastAsia="宋体"/>
          <w:color w:val="auto"/>
          <w:szCs w:val="21"/>
        </w:rPr>
        <w:t>另有规定外，按照下列规定修正：</w:t>
      </w:r>
    </w:p>
    <w:p w14:paraId="3BE33BF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（1）投标文件中开标一览表内容与投标文件中相应内容不一致的，以开标一览表为准；</w:t>
      </w:r>
    </w:p>
    <w:p w14:paraId="1DFADAD6">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（2）大写金额和小写金额不一致的，以大写金额为准；</w:t>
      </w:r>
    </w:p>
    <w:p w14:paraId="61201B4C">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（3）单价金额小数点或者百分比有明显错位的，以开标一览表的总价为准，并修改单价；</w:t>
      </w:r>
    </w:p>
    <w:p w14:paraId="74595589">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（4）总价金额与按单价汇总金额不一致的，以单价金额计算结果为准。</w:t>
      </w:r>
    </w:p>
    <w:p w14:paraId="0B98F74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4.3投标文件报价同时出现两种以上不一致的，按照前款规定的顺序修正。修正后的报价由投标人代表签字或者加盖单位章确认后产生约束力，投标人不确认的，其投标无效。</w:t>
      </w:r>
    </w:p>
    <w:p w14:paraId="5B2EE5C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4.4投标人的澄清、说明或者补正应当由法定代表人或其授权的代表签字。投标人的澄清、说明或者补正不得超出投标文件的范围或者改变投标文件的实质性内容。</w:t>
      </w:r>
    </w:p>
    <w:p w14:paraId="23F3C149">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4.5有效的书面澄清材料，是投标文件的补充材料，成为投标文件的组成部分。</w:t>
      </w:r>
    </w:p>
    <w:p w14:paraId="5BEB8888">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4DC7CDF9">
      <w:pPr>
        <w:pStyle w:val="6"/>
        <w:keepNext w:val="0"/>
        <w:keepLines w:val="0"/>
        <w:adjustRightInd w:val="0"/>
        <w:snapToGrid w:val="0"/>
        <w:spacing w:before="156" w:beforeLines="50" w:after="0" w:line="360" w:lineRule="auto"/>
        <w:rPr>
          <w:rFonts w:ascii="黑体" w:hAnsi="黑体" w:eastAsia="黑体"/>
          <w:bCs w:val="0"/>
          <w:color w:val="auto"/>
          <w:sz w:val="24"/>
          <w:szCs w:val="24"/>
        </w:rPr>
      </w:pPr>
      <w:bookmarkStart w:id="48" w:name="_Toc20583"/>
      <w:r>
        <w:rPr>
          <w:rFonts w:hint="eastAsia" w:ascii="黑体" w:hAnsi="黑体" w:eastAsia="黑体"/>
          <w:bCs w:val="0"/>
          <w:color w:val="auto"/>
          <w:sz w:val="24"/>
          <w:szCs w:val="24"/>
        </w:rPr>
        <w:t>5．投标文件的比较与评价</w:t>
      </w:r>
      <w:bookmarkEnd w:id="48"/>
    </w:p>
    <w:p w14:paraId="7C4ED57D">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5.1评标委员会依法按照本章第三节“投标文件的比较与评价”规定，对资格性</w:t>
      </w:r>
      <w:r>
        <w:rPr>
          <w:rFonts w:hint="eastAsia" w:ascii="宋体" w:hAnsi="宋体"/>
          <w:bCs/>
          <w:color w:val="auto"/>
          <w:szCs w:val="21"/>
          <w:lang w:eastAsia="zh-CN"/>
        </w:rPr>
        <w:t>审查</w:t>
      </w:r>
      <w:r>
        <w:rPr>
          <w:rFonts w:hint="eastAsia" w:ascii="宋体" w:hAnsi="宋体" w:eastAsia="宋体"/>
          <w:bCs/>
          <w:color w:val="auto"/>
          <w:szCs w:val="21"/>
        </w:rPr>
        <w:t>和符合性</w:t>
      </w:r>
      <w:r>
        <w:rPr>
          <w:rFonts w:hint="eastAsia" w:ascii="宋体" w:hAnsi="宋体"/>
          <w:bCs/>
          <w:color w:val="auto"/>
          <w:szCs w:val="21"/>
          <w:lang w:eastAsia="zh-CN"/>
        </w:rPr>
        <w:t>审</w:t>
      </w:r>
      <w:r>
        <w:rPr>
          <w:rFonts w:hint="eastAsia" w:ascii="宋体" w:hAnsi="宋体" w:eastAsia="宋体"/>
          <w:bCs/>
          <w:color w:val="auto"/>
          <w:szCs w:val="21"/>
        </w:rPr>
        <w:t>查合格的投标文件进行比较和评价。</w:t>
      </w:r>
    </w:p>
    <w:p w14:paraId="0E8E42B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bCs/>
          <w:color w:val="auto"/>
          <w:szCs w:val="21"/>
        </w:rPr>
        <w:t>5.2单一产品采购项目：</w:t>
      </w:r>
      <w:r>
        <w:rPr>
          <w:rFonts w:hint="eastAsia" w:ascii="宋体" w:hAnsi="宋体" w:eastAsia="宋体"/>
          <w:color w:val="auto"/>
          <w:szCs w:val="21"/>
        </w:rPr>
        <w:t>提供相同品牌产品且通过资格审查、符合性审查的不同投标人参加同一合同项下投标的，评审后得分最高的同品牌投标人获得中标人推荐资格；评审得分相同的，按照</w:t>
      </w:r>
      <w:r>
        <w:rPr>
          <w:rFonts w:hint="eastAsia" w:ascii="宋体" w:hAnsi="宋体" w:eastAsia="宋体"/>
          <w:b/>
          <w:color w:val="auto"/>
          <w:szCs w:val="21"/>
        </w:rPr>
        <w:t>【评标方法及标准前附表】</w:t>
      </w:r>
      <w:r>
        <w:rPr>
          <w:rFonts w:hint="eastAsia" w:ascii="宋体" w:hAnsi="宋体" w:eastAsia="宋体"/>
          <w:color w:val="auto"/>
          <w:szCs w:val="21"/>
        </w:rPr>
        <w:t>规定的方式确定一个投标人获得中标人推荐资格，招标文件未规定的采取随机抽取方式确定，其他同品牌投标人</w:t>
      </w:r>
      <w:r>
        <w:rPr>
          <w:rFonts w:hint="eastAsia" w:ascii="宋体" w:hAnsi="宋体" w:eastAsia="宋体"/>
          <w:b/>
          <w:color w:val="auto"/>
          <w:szCs w:val="21"/>
        </w:rPr>
        <w:t>不作为中标候选人</w:t>
      </w:r>
      <w:r>
        <w:rPr>
          <w:rFonts w:hint="eastAsia" w:ascii="宋体" w:hAnsi="宋体" w:eastAsia="宋体"/>
          <w:color w:val="auto"/>
          <w:szCs w:val="21"/>
        </w:rPr>
        <w:t>。</w:t>
      </w:r>
    </w:p>
    <w:p w14:paraId="358BFF52">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5.3非单一产品采购项目：多家投标人提供的核心产品品牌相同的，视为相同品牌，按本章本节第 5.2 款规定处理。</w:t>
      </w:r>
    </w:p>
    <w:p w14:paraId="4A6B8F35">
      <w:pPr>
        <w:pStyle w:val="6"/>
        <w:keepNext w:val="0"/>
        <w:keepLines w:val="0"/>
        <w:adjustRightInd w:val="0"/>
        <w:snapToGrid w:val="0"/>
        <w:spacing w:before="156" w:beforeLines="50" w:after="0" w:line="360" w:lineRule="auto"/>
        <w:rPr>
          <w:rFonts w:ascii="黑体" w:hAnsi="黑体" w:eastAsia="黑体"/>
          <w:color w:val="auto"/>
          <w:sz w:val="24"/>
          <w:szCs w:val="24"/>
        </w:rPr>
      </w:pPr>
      <w:bookmarkStart w:id="49" w:name="_Toc20695"/>
      <w:r>
        <w:rPr>
          <w:rFonts w:hint="eastAsia" w:ascii="黑体" w:hAnsi="黑体" w:eastAsia="黑体"/>
          <w:bCs w:val="0"/>
          <w:color w:val="auto"/>
          <w:sz w:val="24"/>
          <w:szCs w:val="24"/>
        </w:rPr>
        <w:t>6．</w:t>
      </w:r>
      <w:r>
        <w:rPr>
          <w:rFonts w:hint="eastAsia" w:ascii="黑体" w:hAnsi="黑体" w:eastAsia="黑体"/>
          <w:color w:val="auto"/>
          <w:sz w:val="24"/>
          <w:szCs w:val="24"/>
        </w:rPr>
        <w:t>推荐中标候选人</w:t>
      </w:r>
      <w:bookmarkEnd w:id="49"/>
    </w:p>
    <w:p w14:paraId="61964443">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6.</w:t>
      </w:r>
      <w:r>
        <w:rPr>
          <w:rFonts w:hint="eastAsia" w:ascii="宋体" w:hAnsi="宋体"/>
          <w:bCs/>
          <w:color w:val="auto"/>
          <w:szCs w:val="21"/>
          <w:lang w:val="en-US" w:eastAsia="zh-CN"/>
        </w:rPr>
        <w:t>1</w:t>
      </w:r>
      <w:r>
        <w:rPr>
          <w:rFonts w:hint="eastAsia" w:ascii="宋体" w:hAnsi="宋体" w:eastAsia="宋体"/>
          <w:bCs/>
          <w:color w:val="auto"/>
          <w:szCs w:val="21"/>
        </w:rPr>
        <w:t>综合评分法：评标结果按评审后得分由高到低顺序排列。得分相同的，按投标报价由低到高顺序排列。得分且投标报价相同的并列，按</w:t>
      </w:r>
      <w:r>
        <w:rPr>
          <w:rFonts w:hint="eastAsia" w:ascii="宋体" w:hAnsi="宋体" w:eastAsia="宋体"/>
          <w:b/>
          <w:bCs/>
          <w:color w:val="auto"/>
          <w:szCs w:val="21"/>
        </w:rPr>
        <w:t>【评标方法及标准前附表】</w:t>
      </w:r>
      <w:r>
        <w:rPr>
          <w:rFonts w:hint="eastAsia" w:ascii="宋体" w:hAnsi="宋体" w:eastAsia="宋体"/>
          <w:bCs/>
          <w:color w:val="auto"/>
          <w:szCs w:val="21"/>
        </w:rPr>
        <w:t>规定的方式确定中标人；招标文件未规定的，采取随机抽取的方式确定。</w:t>
      </w:r>
    </w:p>
    <w:p w14:paraId="45AE17DA">
      <w:pPr>
        <w:pStyle w:val="6"/>
        <w:keepNext w:val="0"/>
        <w:keepLines w:val="0"/>
        <w:adjustRightInd w:val="0"/>
        <w:snapToGrid w:val="0"/>
        <w:spacing w:before="156" w:beforeLines="50" w:after="0" w:line="360" w:lineRule="auto"/>
        <w:rPr>
          <w:rFonts w:ascii="黑体" w:hAnsi="黑体" w:eastAsia="黑体"/>
          <w:color w:val="auto"/>
          <w:sz w:val="24"/>
          <w:szCs w:val="24"/>
        </w:rPr>
      </w:pPr>
      <w:bookmarkStart w:id="50" w:name="_Toc24996"/>
      <w:r>
        <w:rPr>
          <w:rFonts w:hint="eastAsia" w:ascii="黑体" w:hAnsi="黑体" w:eastAsia="黑体"/>
          <w:bCs w:val="0"/>
          <w:color w:val="auto"/>
          <w:sz w:val="24"/>
          <w:szCs w:val="24"/>
        </w:rPr>
        <w:t>7．</w:t>
      </w:r>
      <w:r>
        <w:rPr>
          <w:rFonts w:hint="eastAsia" w:ascii="黑体" w:hAnsi="黑体" w:eastAsia="黑体"/>
          <w:color w:val="auto"/>
          <w:sz w:val="24"/>
          <w:szCs w:val="24"/>
        </w:rPr>
        <w:t>编写评标报告</w:t>
      </w:r>
      <w:bookmarkEnd w:id="50"/>
    </w:p>
    <w:p w14:paraId="5552706B">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7.1评标</w:t>
      </w:r>
      <w:r>
        <w:rPr>
          <w:rFonts w:hint="eastAsia" w:ascii="宋体" w:hAnsi="宋体" w:eastAsia="宋体"/>
          <w:bCs/>
          <w:color w:val="auto"/>
          <w:szCs w:val="21"/>
        </w:rPr>
        <w:t>委员会</w:t>
      </w:r>
      <w:r>
        <w:rPr>
          <w:rFonts w:hint="eastAsia" w:ascii="宋体" w:hAnsi="宋体" w:eastAsia="宋体"/>
          <w:color w:val="auto"/>
          <w:szCs w:val="21"/>
        </w:rPr>
        <w:t>根据全体评标成员签字的原始评标记录和评标结果编写评标报告。</w:t>
      </w:r>
    </w:p>
    <w:p w14:paraId="3276B178">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color w:val="auto"/>
          <w:szCs w:val="21"/>
        </w:rPr>
        <w:t>7.2</w:t>
      </w:r>
      <w:r>
        <w:rPr>
          <w:rFonts w:hint="eastAsia" w:ascii="宋体" w:hAnsi="宋体" w:eastAsia="宋体"/>
          <w:bCs/>
          <w:color w:val="auto"/>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B0AF01C">
      <w:pPr>
        <w:pStyle w:val="6"/>
        <w:keepNext w:val="0"/>
        <w:keepLines w:val="0"/>
        <w:adjustRightInd w:val="0"/>
        <w:snapToGrid w:val="0"/>
        <w:spacing w:before="156" w:beforeLines="50" w:after="0" w:line="360" w:lineRule="auto"/>
        <w:rPr>
          <w:rFonts w:ascii="黑体" w:hAnsi="黑体" w:eastAsia="黑体"/>
          <w:bCs w:val="0"/>
          <w:color w:val="auto"/>
          <w:sz w:val="24"/>
          <w:szCs w:val="24"/>
        </w:rPr>
      </w:pPr>
      <w:bookmarkStart w:id="51" w:name="_Toc30227"/>
      <w:r>
        <w:rPr>
          <w:rFonts w:hint="eastAsia" w:ascii="黑体" w:hAnsi="黑体" w:eastAsia="黑体"/>
          <w:bCs w:val="0"/>
          <w:color w:val="auto"/>
          <w:sz w:val="24"/>
          <w:szCs w:val="24"/>
        </w:rPr>
        <w:t>8．</w:t>
      </w:r>
      <w:r>
        <w:rPr>
          <w:rFonts w:hint="eastAsia" w:ascii="黑体" w:hAnsi="黑体" w:eastAsia="黑体"/>
          <w:color w:val="auto"/>
          <w:sz w:val="24"/>
          <w:szCs w:val="24"/>
        </w:rPr>
        <w:t>评标报告</w:t>
      </w:r>
      <w:r>
        <w:rPr>
          <w:rFonts w:hint="eastAsia" w:ascii="黑体" w:hAnsi="黑体" w:eastAsia="黑体"/>
          <w:bCs w:val="0"/>
          <w:color w:val="auto"/>
          <w:sz w:val="24"/>
          <w:szCs w:val="24"/>
        </w:rPr>
        <w:t>复核</w:t>
      </w:r>
      <w:bookmarkEnd w:id="51"/>
    </w:p>
    <w:p w14:paraId="18736A98">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8.1汇总结束后，评标委员会应当进行复核，特别要对拟推荐为中标候选供应商的、报价最低的、投标文件被认定为无效的进行重点复核。</w:t>
      </w:r>
    </w:p>
    <w:p w14:paraId="6B7E9CCF">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8.2汇总完成后，除下列情形外，任何人不得修改评标结果：</w:t>
      </w:r>
    </w:p>
    <w:p w14:paraId="1BD0CC48">
      <w:pPr>
        <w:adjustRightInd w:val="0"/>
        <w:snapToGrid w:val="0"/>
        <w:spacing w:before="156"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（1）分值汇总计算错误的；</w:t>
      </w:r>
    </w:p>
    <w:p w14:paraId="119FFCB8">
      <w:pPr>
        <w:adjustRightInd w:val="0"/>
        <w:snapToGrid w:val="0"/>
        <w:spacing w:before="156"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（2）分项评分超出评分标准范围的；</w:t>
      </w:r>
    </w:p>
    <w:p w14:paraId="462F21AF">
      <w:pPr>
        <w:adjustRightInd w:val="0"/>
        <w:snapToGrid w:val="0"/>
        <w:spacing w:before="156"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（3）评标委员会成员对客观评审因素评分不一致的；</w:t>
      </w:r>
    </w:p>
    <w:p w14:paraId="3BA1AB84">
      <w:pPr>
        <w:adjustRightInd w:val="0"/>
        <w:snapToGrid w:val="0"/>
        <w:spacing w:before="156"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（4）经评标委员会认定评分畸高、畸低的。</w:t>
      </w:r>
    </w:p>
    <w:p w14:paraId="72E08E98">
      <w:pPr>
        <w:adjustRightInd w:val="0"/>
        <w:snapToGrid w:val="0"/>
        <w:spacing w:before="156" w:beforeLines="50" w:line="360" w:lineRule="auto"/>
        <w:ind w:firstLine="420" w:firstLineChars="200"/>
        <w:jc w:val="left"/>
        <w:rPr>
          <w:rFonts w:ascii="宋体" w:hAnsi="宋体" w:eastAsia="宋体"/>
          <w:b/>
          <w:bCs/>
          <w:color w:val="auto"/>
          <w:szCs w:val="21"/>
        </w:rPr>
      </w:pPr>
      <w:r>
        <w:rPr>
          <w:rFonts w:hint="eastAsia" w:ascii="宋体" w:hAnsi="宋体" w:eastAsia="宋体"/>
          <w:bCs/>
          <w:color w:val="auto"/>
          <w:szCs w:val="21"/>
        </w:rPr>
        <w:t>8.3评标报告签署前，经复核发现存在以上情形之一的，评标委员会应当当场修改评标结果，并在评标报告中记载；评标报告签署后，采购人发现存在以上情形之一的，应当组织原评标委员会进行重新评审。重新评审改变评标结果的，</w:t>
      </w:r>
      <w:r>
        <w:rPr>
          <w:rFonts w:hint="eastAsia" w:ascii="宋体" w:hAnsi="宋体"/>
          <w:bCs/>
          <w:color w:val="auto"/>
          <w:szCs w:val="21"/>
          <w:lang w:eastAsia="zh-CN"/>
        </w:rPr>
        <w:t>进行</w:t>
      </w:r>
      <w:r>
        <w:rPr>
          <w:rFonts w:hint="eastAsia" w:ascii="宋体" w:hAnsi="宋体" w:eastAsia="宋体"/>
          <w:bCs/>
          <w:color w:val="auto"/>
          <w:szCs w:val="21"/>
        </w:rPr>
        <w:t>书面报告。</w:t>
      </w:r>
    </w:p>
    <w:p w14:paraId="3ADAB5DE">
      <w:pPr>
        <w:pStyle w:val="6"/>
        <w:keepNext w:val="0"/>
        <w:keepLines w:val="0"/>
        <w:adjustRightInd w:val="0"/>
        <w:snapToGrid w:val="0"/>
        <w:spacing w:before="156" w:beforeLines="50" w:after="0" w:line="360" w:lineRule="auto"/>
        <w:rPr>
          <w:rFonts w:ascii="黑体" w:hAnsi="黑体" w:eastAsia="黑体"/>
          <w:bCs w:val="0"/>
          <w:color w:val="auto"/>
          <w:sz w:val="24"/>
          <w:szCs w:val="24"/>
        </w:rPr>
      </w:pPr>
      <w:bookmarkStart w:id="52" w:name="_Toc11442"/>
      <w:r>
        <w:rPr>
          <w:rFonts w:hint="eastAsia" w:ascii="黑体" w:hAnsi="黑体" w:eastAsia="黑体"/>
          <w:color w:val="auto"/>
          <w:sz w:val="24"/>
          <w:szCs w:val="24"/>
        </w:rPr>
        <w:t>9．</w:t>
      </w:r>
      <w:r>
        <w:rPr>
          <w:rFonts w:hint="eastAsia" w:ascii="黑体" w:hAnsi="黑体" w:eastAsia="黑体"/>
          <w:bCs w:val="0"/>
          <w:color w:val="auto"/>
          <w:sz w:val="24"/>
          <w:szCs w:val="24"/>
        </w:rPr>
        <w:t>停止评标</w:t>
      </w:r>
      <w:bookmarkEnd w:id="52"/>
    </w:p>
    <w:p w14:paraId="3ABF3B92">
      <w:pPr>
        <w:adjustRightInd w:val="0"/>
        <w:snapToGrid w:val="0"/>
        <w:spacing w:before="156" w:beforeLines="50" w:line="360" w:lineRule="auto"/>
        <w:ind w:firstLine="420" w:firstLineChars="200"/>
        <w:jc w:val="left"/>
        <w:rPr>
          <w:rFonts w:ascii="宋体" w:hAnsi="宋体" w:eastAsia="宋体" w:cs="宋体"/>
          <w:color w:val="auto"/>
          <w:kern w:val="0"/>
          <w:szCs w:val="21"/>
        </w:rPr>
      </w:pPr>
      <w:r>
        <w:rPr>
          <w:rFonts w:hint="eastAsia" w:ascii="宋体" w:hAnsi="宋体" w:eastAsia="宋体"/>
          <w:bCs/>
          <w:color w:val="auto"/>
          <w:szCs w:val="21"/>
        </w:rPr>
        <w:t>9.1</w:t>
      </w:r>
      <w:r>
        <w:rPr>
          <w:rFonts w:hint="eastAsia" w:ascii="宋体" w:hAnsi="宋体" w:eastAsia="宋体" w:cs="宋体"/>
          <w:color w:val="auto"/>
          <w:kern w:val="0"/>
          <w:szCs w:val="21"/>
        </w:rPr>
        <w:t>评标委员会发现招标文件存在歧义、重大缺陷导致评标工作无法进行，或者招标文件内容违反国家有关强制性规定的，应当停止评标工作，与采购人沟通并作书面记录。采购人确认后，应当修改招标文件，重新组织</w:t>
      </w:r>
      <w:r>
        <w:rPr>
          <w:rFonts w:hint="eastAsia" w:ascii="宋体" w:hAnsi="宋体" w:cs="宋体"/>
          <w:color w:val="auto"/>
          <w:kern w:val="0"/>
          <w:szCs w:val="21"/>
          <w:lang w:eastAsia="zh-CN"/>
        </w:rPr>
        <w:t>询价比选</w:t>
      </w:r>
      <w:r>
        <w:rPr>
          <w:rFonts w:hint="eastAsia" w:ascii="宋体" w:hAnsi="宋体" w:eastAsia="宋体" w:cs="宋体"/>
          <w:color w:val="auto"/>
          <w:kern w:val="0"/>
          <w:szCs w:val="21"/>
        </w:rPr>
        <w:t>活动。</w:t>
      </w:r>
    </w:p>
    <w:p w14:paraId="6B7EC48E">
      <w:pPr>
        <w:pStyle w:val="6"/>
        <w:keepNext w:val="0"/>
        <w:keepLines w:val="0"/>
        <w:adjustRightInd w:val="0"/>
        <w:snapToGrid w:val="0"/>
        <w:spacing w:before="156" w:beforeLines="50" w:after="0" w:line="360" w:lineRule="auto"/>
        <w:rPr>
          <w:rFonts w:hint="eastAsia" w:ascii="黑体" w:hAnsi="黑体" w:eastAsia="黑体"/>
          <w:color w:val="auto"/>
          <w:sz w:val="24"/>
          <w:szCs w:val="24"/>
        </w:rPr>
      </w:pPr>
      <w:bookmarkStart w:id="53" w:name="_Toc5062"/>
      <w:r>
        <w:rPr>
          <w:rFonts w:hint="eastAsia" w:ascii="黑体" w:hAnsi="黑体" w:eastAsia="黑体"/>
          <w:color w:val="auto"/>
          <w:sz w:val="24"/>
          <w:szCs w:val="24"/>
        </w:rPr>
        <w:t>10</w:t>
      </w:r>
      <w:r>
        <w:rPr>
          <w:rFonts w:hint="eastAsia" w:ascii="黑体" w:hAnsi="黑体" w:eastAsia="黑体" w:cs="宋体"/>
          <w:color w:val="auto"/>
          <w:kern w:val="0"/>
          <w:sz w:val="24"/>
          <w:szCs w:val="24"/>
        </w:rPr>
        <w:t>．</w:t>
      </w:r>
      <w:r>
        <w:rPr>
          <w:rFonts w:hint="eastAsia" w:ascii="黑体" w:hAnsi="黑体" w:eastAsia="黑体"/>
          <w:color w:val="auto"/>
          <w:sz w:val="24"/>
          <w:szCs w:val="24"/>
        </w:rPr>
        <w:t>废标</w:t>
      </w:r>
      <w:bookmarkEnd w:id="53"/>
    </w:p>
    <w:p w14:paraId="17A8835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10.1 根据有关法律法规和招标文件的有关规定，如出现下列情况之一的，应予以废标：</w:t>
      </w:r>
    </w:p>
    <w:p w14:paraId="313C74CB">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（1）符合专业条件的投标人或者对招标文件作实质响应的投标人不足三家的；</w:t>
      </w:r>
    </w:p>
    <w:p w14:paraId="0D0E90A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（2）出现影响采购公正的违法、违规行为的；</w:t>
      </w:r>
    </w:p>
    <w:p w14:paraId="5AEC098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（3）投标人的报价均超过采购项目预算，</w:t>
      </w:r>
      <w:r>
        <w:rPr>
          <w:rFonts w:hint="eastAsia" w:ascii="宋体" w:hAnsi="宋体"/>
          <w:color w:val="auto"/>
          <w:szCs w:val="21"/>
          <w:lang w:eastAsia="zh-CN"/>
        </w:rPr>
        <w:t>采购人</w:t>
      </w:r>
      <w:r>
        <w:rPr>
          <w:rFonts w:hint="eastAsia" w:ascii="宋体" w:hAnsi="宋体" w:eastAsia="宋体"/>
          <w:color w:val="auto"/>
          <w:szCs w:val="21"/>
        </w:rPr>
        <w:t>不能支付的；</w:t>
      </w:r>
    </w:p>
    <w:p w14:paraId="777798B8">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（4）因重大变故，采购任务取消的。</w:t>
      </w:r>
    </w:p>
    <w:p w14:paraId="5CA2BAD5">
      <w:pPr>
        <w:pStyle w:val="6"/>
        <w:keepNext w:val="0"/>
        <w:keepLines w:val="0"/>
        <w:adjustRightInd w:val="0"/>
        <w:snapToGrid w:val="0"/>
        <w:spacing w:before="156" w:beforeLines="50" w:after="0" w:line="360" w:lineRule="auto"/>
        <w:rPr>
          <w:rFonts w:ascii="黑体" w:hAnsi="黑体" w:eastAsia="黑体"/>
          <w:bCs w:val="0"/>
          <w:color w:val="auto"/>
          <w:sz w:val="24"/>
          <w:szCs w:val="24"/>
        </w:rPr>
      </w:pPr>
      <w:bookmarkStart w:id="54" w:name="_Toc18850"/>
      <w:r>
        <w:rPr>
          <w:rFonts w:hint="eastAsia" w:ascii="黑体" w:hAnsi="黑体" w:eastAsia="黑体" w:cs="宋体"/>
          <w:color w:val="auto"/>
          <w:kern w:val="0"/>
          <w:sz w:val="24"/>
          <w:szCs w:val="24"/>
        </w:rPr>
        <w:t>11．重新组建评标委员会进行评标</w:t>
      </w:r>
      <w:bookmarkEnd w:id="54"/>
    </w:p>
    <w:p w14:paraId="18B9C25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11.1评标委员会或者其成员存在下列情形导致评标结果无效的，采购人可以重新组建评标委员会进行评标，但采购合同已经履行的除外：</w:t>
      </w:r>
    </w:p>
    <w:p w14:paraId="549C5A7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（1）评标委员会组成不符合《政府采购货物和服务招标投标管理办法》规定的；</w:t>
      </w:r>
    </w:p>
    <w:p w14:paraId="675C1EB1">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（2）有《政府采购货物和服务招标投标管理办法》第六十二条第一至五项情形的；</w:t>
      </w:r>
    </w:p>
    <w:p w14:paraId="1217FCE0">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（3）评标委员会及其成员独立评标受到非法干预的；</w:t>
      </w:r>
    </w:p>
    <w:p w14:paraId="747B16A5">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（4）有政府采购法实施条例第七十五条规定的违法行为的。</w:t>
      </w:r>
    </w:p>
    <w:p w14:paraId="3C3ECB1F">
      <w:pPr>
        <w:adjustRightInd w:val="0"/>
        <w:snapToGrid w:val="0"/>
        <w:spacing w:before="156" w:beforeLines="50" w:line="360" w:lineRule="auto"/>
        <w:ind w:firstLine="420" w:firstLineChars="200"/>
        <w:jc w:val="left"/>
        <w:rPr>
          <w:rFonts w:ascii="黑体" w:hAnsi="华文中宋" w:eastAsia="黑体"/>
          <w:b/>
          <w:color w:val="auto"/>
          <w:sz w:val="13"/>
          <w:szCs w:val="13"/>
        </w:rPr>
      </w:pPr>
      <w:r>
        <w:rPr>
          <w:rFonts w:hint="eastAsia" w:ascii="宋体" w:hAnsi="宋体" w:eastAsia="宋体"/>
          <w:color w:val="auto"/>
          <w:szCs w:val="21"/>
        </w:rPr>
        <w:t>11.2有违法违规行为的原评标委员会成员不得参加重新组建的评标委员会。</w:t>
      </w:r>
      <w:r>
        <w:rPr>
          <w:rFonts w:ascii="黑体" w:hAnsi="华文中宋" w:eastAsia="黑体"/>
          <w:b/>
          <w:color w:val="auto"/>
          <w:sz w:val="32"/>
          <w:szCs w:val="32"/>
        </w:rPr>
        <w:br w:type="page"/>
      </w:r>
    </w:p>
    <w:p w14:paraId="55E46E20">
      <w:pPr>
        <w:pStyle w:val="5"/>
        <w:adjustRightInd w:val="0"/>
        <w:snapToGrid w:val="0"/>
        <w:jc w:val="center"/>
        <w:rPr>
          <w:rFonts w:ascii="黑体" w:hAnsi="华文中宋" w:eastAsia="黑体"/>
          <w:color w:val="auto"/>
          <w:sz w:val="28"/>
          <w:szCs w:val="28"/>
        </w:rPr>
      </w:pPr>
      <w:bookmarkStart w:id="55" w:name="_Toc755"/>
      <w:bookmarkStart w:id="56" w:name="_Toc4819"/>
      <w:r>
        <w:rPr>
          <w:rFonts w:hint="eastAsia" w:ascii="黑体" w:hAnsi="华文中宋" w:eastAsia="黑体"/>
          <w:color w:val="auto"/>
          <w:sz w:val="28"/>
          <w:szCs w:val="28"/>
        </w:rPr>
        <w:t>第三节 投标文件的符合性审查</w:t>
      </w:r>
      <w:bookmarkEnd w:id="55"/>
      <w:bookmarkEnd w:id="56"/>
    </w:p>
    <w:p w14:paraId="3F4E52D3">
      <w:pPr>
        <w:adjustRightInd w:val="0"/>
        <w:snapToGrid w:val="0"/>
        <w:spacing w:before="156" w:beforeLines="50" w:line="360" w:lineRule="auto"/>
        <w:rPr>
          <w:rFonts w:ascii="黑体" w:hAnsi="黑体" w:eastAsia="黑体"/>
          <w:b/>
          <w:color w:val="auto"/>
          <w:sz w:val="24"/>
        </w:rPr>
      </w:pPr>
      <w:r>
        <w:rPr>
          <w:rFonts w:hint="eastAsia" w:ascii="黑体" w:hAnsi="黑体" w:eastAsia="黑体"/>
          <w:b/>
          <w:color w:val="auto"/>
          <w:sz w:val="24"/>
        </w:rPr>
        <w:t>1.符合性审查</w:t>
      </w:r>
    </w:p>
    <w:p w14:paraId="0A882403">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eastAsia="宋体"/>
          <w:color w:val="auto"/>
        </w:rPr>
        <w:t>1.1</w:t>
      </w:r>
      <w:r>
        <w:rPr>
          <w:rFonts w:hint="eastAsia" w:ascii="宋体" w:hAnsi="宋体" w:eastAsia="宋体"/>
          <w:color w:val="auto"/>
          <w:szCs w:val="21"/>
        </w:rPr>
        <w:t>评标委员会应按本章本节附表1“符合性审查表”所列审查项目及审查标准，</w:t>
      </w:r>
      <w:r>
        <w:rPr>
          <w:rFonts w:hint="eastAsia" w:ascii="宋体" w:hAnsi="宋体" w:eastAsia="宋体"/>
          <w:color w:val="auto"/>
        </w:rPr>
        <w:t>对符合资格条件的投标人的投标文件进行符合性审查，以确定其是否满足招标文件的实质性要求。</w:t>
      </w:r>
    </w:p>
    <w:p w14:paraId="707D4B22">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4E1ED34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（2）投标人不得通过修正或撤销不合要求的偏离从而使其投标成为实质上响应的投标。</w:t>
      </w:r>
    </w:p>
    <w:p w14:paraId="4DBF172E">
      <w:pPr>
        <w:adjustRightInd w:val="0"/>
        <w:snapToGrid w:val="0"/>
        <w:spacing w:before="156" w:beforeLines="50" w:line="360" w:lineRule="auto"/>
        <w:ind w:firstLine="420" w:firstLineChars="200"/>
        <w:jc w:val="left"/>
        <w:rPr>
          <w:rFonts w:ascii="宋体" w:hAnsi="宋体" w:eastAsia="宋体"/>
          <w:color w:val="auto"/>
        </w:rPr>
      </w:pPr>
      <w:r>
        <w:rPr>
          <w:rFonts w:hint="eastAsia" w:ascii="宋体" w:hAnsi="宋体" w:eastAsia="宋体"/>
          <w:color w:val="auto"/>
          <w:kern w:val="0"/>
          <w:szCs w:val="21"/>
        </w:rPr>
        <w:t>1.2</w:t>
      </w:r>
      <w:r>
        <w:rPr>
          <w:rFonts w:hint="eastAsia" w:ascii="宋体" w:hAnsi="宋体" w:eastAsia="宋体"/>
          <w:color w:val="auto"/>
        </w:rPr>
        <w:t>未通过符合性审查的投标人，其投标将被认定为投标无效，不能进入下一阶段评审。通过符合性审查的投标人数量不足 3 家的，不得作进一步的比较和评价。</w:t>
      </w:r>
    </w:p>
    <w:p w14:paraId="4DFEDF4D">
      <w:pPr>
        <w:adjustRightInd w:val="0"/>
        <w:snapToGrid w:val="0"/>
        <w:spacing w:before="156" w:beforeLines="50" w:line="360" w:lineRule="auto"/>
        <w:jc w:val="left"/>
        <w:rPr>
          <w:rFonts w:ascii="黑体" w:hAnsi="黑体" w:eastAsia="黑体"/>
          <w:b/>
          <w:color w:val="auto"/>
          <w:sz w:val="24"/>
        </w:rPr>
      </w:pPr>
      <w:r>
        <w:rPr>
          <w:rFonts w:hint="eastAsia" w:ascii="黑体" w:hAnsi="黑体" w:eastAsia="黑体"/>
          <w:b/>
          <w:color w:val="auto"/>
          <w:sz w:val="24"/>
        </w:rPr>
        <w:t>2.投标无效</w:t>
      </w:r>
    </w:p>
    <w:p w14:paraId="7E76EC73">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2.1投标人存在下列情况之一的，符合性审查不合格，投标无效：</w:t>
      </w:r>
    </w:p>
    <w:p w14:paraId="01FB962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（1）投标文件中商务技术文件未按照招标文件规定要求签署、盖章的；</w:t>
      </w:r>
    </w:p>
    <w:p w14:paraId="7AF5083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（2）投标文件没有对招标文件的实质性要求和条件作出响应，或者对招标文件的偏离超出招标文件规定的偏离</w:t>
      </w:r>
      <w:r>
        <w:rPr>
          <w:rFonts w:hint="eastAsia" w:ascii="宋体" w:hAnsi="宋体" w:eastAsia="宋体"/>
          <w:color w:val="auto"/>
        </w:rPr>
        <w:t>范围和幅度</w:t>
      </w:r>
      <w:r>
        <w:rPr>
          <w:rFonts w:hint="eastAsia" w:ascii="宋体" w:hAnsi="宋体" w:eastAsia="宋体"/>
          <w:color w:val="auto"/>
          <w:szCs w:val="21"/>
        </w:rPr>
        <w:t>；</w:t>
      </w:r>
    </w:p>
    <w:p w14:paraId="50FD1E0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（3）投标有效期不足的；</w:t>
      </w:r>
    </w:p>
    <w:p w14:paraId="06FF546B">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（4）投标文件含有采购人不能接受的附加条件的；</w:t>
      </w:r>
    </w:p>
    <w:p w14:paraId="2F6CA00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（5）不符合本节第1.1款规定符合性审查标准的；</w:t>
      </w:r>
    </w:p>
    <w:p w14:paraId="5BECE69D">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（6）法律、法规和招标文件规定的其他投标无效情形的。</w:t>
      </w:r>
    </w:p>
    <w:p w14:paraId="45CF361C">
      <w:pPr>
        <w:adjustRightInd w:val="0"/>
        <w:snapToGrid w:val="0"/>
        <w:spacing w:before="156" w:beforeLines="50" w:line="360" w:lineRule="auto"/>
        <w:ind w:firstLine="420" w:firstLineChars="200"/>
        <w:jc w:val="left"/>
        <w:rPr>
          <w:rFonts w:ascii="宋体" w:hAnsi="宋体" w:eastAsia="宋体"/>
          <w:color w:val="auto"/>
          <w:kern w:val="0"/>
          <w:szCs w:val="21"/>
        </w:rPr>
      </w:pPr>
      <w:r>
        <w:rPr>
          <w:rFonts w:hint="eastAsia" w:ascii="宋体" w:hAnsi="宋体" w:eastAsia="宋体"/>
          <w:color w:val="auto"/>
          <w:kern w:val="0"/>
          <w:szCs w:val="21"/>
        </w:rPr>
        <w:t>2.2在评标过程中发现投标人有不遵循公平竞争的原则，恶意串通，妨碍其他投标人的竞争行为，损害采购人或者其他投标人的合法权益的，评标委员会应当认定其</w:t>
      </w:r>
      <w:r>
        <w:rPr>
          <w:rFonts w:hint="eastAsia" w:ascii="宋体" w:hAnsi="宋体" w:eastAsia="宋体"/>
          <w:b/>
          <w:color w:val="auto"/>
          <w:kern w:val="0"/>
          <w:szCs w:val="21"/>
        </w:rPr>
        <w:t>投标无效</w:t>
      </w:r>
      <w:r>
        <w:rPr>
          <w:rFonts w:hint="eastAsia" w:ascii="宋体" w:hAnsi="宋体" w:eastAsia="宋体"/>
          <w:color w:val="auto"/>
          <w:kern w:val="0"/>
          <w:szCs w:val="21"/>
        </w:rPr>
        <w:t>，并</w:t>
      </w:r>
      <w:r>
        <w:rPr>
          <w:rFonts w:hint="eastAsia" w:ascii="宋体" w:hAnsi="宋体"/>
          <w:color w:val="auto"/>
          <w:kern w:val="0"/>
          <w:szCs w:val="21"/>
          <w:lang w:eastAsia="zh-CN"/>
        </w:rPr>
        <w:t>形成书面材料</w:t>
      </w:r>
      <w:r>
        <w:rPr>
          <w:rFonts w:hint="eastAsia" w:ascii="宋体" w:hAnsi="宋体" w:eastAsia="宋体"/>
          <w:color w:val="auto"/>
          <w:kern w:val="0"/>
          <w:szCs w:val="21"/>
        </w:rPr>
        <w:t>。</w:t>
      </w:r>
    </w:p>
    <w:p w14:paraId="65FD9DAD">
      <w:pPr>
        <w:rPr>
          <w:color w:val="auto"/>
        </w:rPr>
      </w:pPr>
    </w:p>
    <w:p w14:paraId="5A3E7FE7">
      <w:pPr>
        <w:rPr>
          <w:color w:val="auto"/>
        </w:rPr>
      </w:pPr>
    </w:p>
    <w:p w14:paraId="559A1BE0">
      <w:pPr>
        <w:widowControl/>
        <w:jc w:val="left"/>
        <w:rPr>
          <w:rFonts w:ascii="黑体" w:hAnsi="黑体"/>
          <w:b/>
          <w:color w:val="auto"/>
          <w:sz w:val="10"/>
          <w:szCs w:val="10"/>
        </w:rPr>
      </w:pPr>
      <w:r>
        <w:rPr>
          <w:rFonts w:ascii="黑体" w:hAnsi="黑体"/>
          <w:b/>
          <w:color w:val="auto"/>
          <w:szCs w:val="21"/>
        </w:rPr>
        <w:br w:type="page"/>
      </w:r>
    </w:p>
    <w:p w14:paraId="33E37135">
      <w:pPr>
        <w:pStyle w:val="6"/>
        <w:adjustRightInd w:val="0"/>
        <w:snapToGrid w:val="0"/>
        <w:spacing w:before="156" w:beforeLines="50" w:after="0" w:line="360" w:lineRule="auto"/>
        <w:rPr>
          <w:rFonts w:hint="eastAsia" w:ascii="黑体" w:hAnsi="黑体" w:eastAsia="黑体" w:cs="黑体"/>
          <w:b w:val="0"/>
          <w:bCs w:val="0"/>
          <w:color w:val="auto"/>
          <w:sz w:val="21"/>
          <w:szCs w:val="21"/>
        </w:rPr>
      </w:pPr>
      <w:bookmarkStart w:id="57" w:name="_Toc12740"/>
      <w:r>
        <w:rPr>
          <w:rFonts w:hint="eastAsia" w:ascii="黑体" w:hAnsi="黑体" w:eastAsia="黑体" w:cs="黑体"/>
          <w:b w:val="0"/>
          <w:bCs w:val="0"/>
          <w:color w:val="auto"/>
          <w:sz w:val="21"/>
          <w:szCs w:val="21"/>
        </w:rPr>
        <w:t>附表1 符合性审查表</w:t>
      </w:r>
      <w:bookmarkEnd w:id="57"/>
    </w:p>
    <w:p w14:paraId="12CE06F7">
      <w:pPr>
        <w:adjustRightInd w:val="0"/>
        <w:snapToGrid w:val="0"/>
        <w:spacing w:before="156"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符合性审查表</w:t>
      </w:r>
    </w:p>
    <w:p w14:paraId="1819949E">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 xml:space="preserve">项目名称：                                           </w:t>
      </w:r>
    </w:p>
    <w:tbl>
      <w:tblPr>
        <w:tblStyle w:val="2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2686"/>
        <w:gridCol w:w="5691"/>
      </w:tblGrid>
      <w:tr w14:paraId="5F2B41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0"/>
            <w:vAlign w:val="center"/>
          </w:tcPr>
          <w:p w14:paraId="38E8014E">
            <w:pPr>
              <w:adjustRightInd w:val="0"/>
              <w:snapToGrid w:val="0"/>
              <w:spacing w:before="156" w:beforeLines="50"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2686" w:type="dxa"/>
            <w:noWrap w:val="0"/>
            <w:vAlign w:val="center"/>
          </w:tcPr>
          <w:p w14:paraId="6EF5414F">
            <w:pPr>
              <w:adjustRightInd w:val="0"/>
              <w:snapToGrid w:val="0"/>
              <w:spacing w:before="156" w:beforeLines="50"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审查项目</w:t>
            </w:r>
          </w:p>
        </w:tc>
        <w:tc>
          <w:tcPr>
            <w:tcW w:w="5691" w:type="dxa"/>
            <w:noWrap w:val="0"/>
            <w:vAlign w:val="center"/>
          </w:tcPr>
          <w:p w14:paraId="3C8D53EC">
            <w:pPr>
              <w:adjustRightInd w:val="0"/>
              <w:snapToGrid w:val="0"/>
              <w:spacing w:before="156" w:beforeLines="50"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审查标准</w:t>
            </w:r>
          </w:p>
        </w:tc>
      </w:tr>
      <w:tr w14:paraId="5FC5A2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164E441E">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686" w:type="dxa"/>
            <w:noWrap w:val="0"/>
            <w:vAlign w:val="center"/>
          </w:tcPr>
          <w:p w14:paraId="5CA7DE4B">
            <w:pPr>
              <w:widowControl w:val="0"/>
              <w:adjustRightInd w:val="0"/>
              <w:snapToGrid w:val="0"/>
              <w:spacing w:line="360" w:lineRule="exact"/>
              <w:textAlignment w:val="auto"/>
              <w:rPr>
                <w:rFonts w:ascii="宋体" w:hAnsi="宋体" w:eastAsia="宋体" w:cs="宋体"/>
                <w:color w:val="auto"/>
                <w:kern w:val="0"/>
                <w:szCs w:val="21"/>
              </w:rPr>
            </w:pPr>
            <w:r>
              <w:rPr>
                <w:rFonts w:hint="eastAsia" w:ascii="宋体" w:hAnsi="宋体" w:cs="Times New Roman"/>
                <w:color w:val="auto"/>
                <w:szCs w:val="21"/>
              </w:rPr>
              <w:t>投标文件中商务技术文件是否按照招标文件规定要求签署、盖章的；</w:t>
            </w:r>
          </w:p>
        </w:tc>
        <w:tc>
          <w:tcPr>
            <w:tcW w:w="5691" w:type="dxa"/>
            <w:noWrap w:val="0"/>
            <w:vAlign w:val="center"/>
          </w:tcPr>
          <w:p w14:paraId="59D3646F">
            <w:pPr>
              <w:widowControl w:val="0"/>
              <w:adjustRightInd w:val="0"/>
              <w:snapToGrid w:val="0"/>
              <w:spacing w:before="156" w:beforeLines="50" w:line="360" w:lineRule="auto"/>
              <w:rPr>
                <w:rFonts w:ascii="宋体" w:hAnsi="宋体" w:eastAsia="宋体" w:cs="宋体"/>
                <w:color w:val="auto"/>
                <w:kern w:val="0"/>
                <w:szCs w:val="21"/>
              </w:rPr>
            </w:pPr>
            <w:r>
              <w:rPr>
                <w:rFonts w:hint="eastAsia" w:ascii="宋体" w:hAnsi="宋体"/>
                <w:color w:val="auto"/>
                <w:szCs w:val="21"/>
              </w:rPr>
              <w:t>投标文件是否存在商务技术文件没有按照招标文件规定要求签署、盖章的；</w:t>
            </w:r>
          </w:p>
        </w:tc>
      </w:tr>
      <w:tr w14:paraId="68202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3275CCB">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2686" w:type="dxa"/>
            <w:noWrap w:val="0"/>
            <w:vAlign w:val="center"/>
          </w:tcPr>
          <w:p w14:paraId="1345D8E4">
            <w:pPr>
              <w:widowControl w:val="0"/>
              <w:adjustRightInd w:val="0"/>
              <w:snapToGrid w:val="0"/>
              <w:spacing w:line="360" w:lineRule="exact"/>
              <w:textAlignment w:val="auto"/>
              <w:rPr>
                <w:rFonts w:ascii="宋体" w:hAnsi="宋体" w:eastAsia="宋体" w:cs="宋体"/>
                <w:color w:val="auto"/>
                <w:kern w:val="0"/>
                <w:szCs w:val="21"/>
              </w:rPr>
            </w:pPr>
            <w:r>
              <w:rPr>
                <w:rFonts w:hint="eastAsia" w:ascii="宋体" w:hAnsi="宋体" w:cs="Times New Roman"/>
                <w:color w:val="auto"/>
                <w:szCs w:val="21"/>
              </w:rPr>
              <w:t>投标有效期不足的；</w:t>
            </w:r>
          </w:p>
        </w:tc>
        <w:tc>
          <w:tcPr>
            <w:tcW w:w="5691" w:type="dxa"/>
            <w:noWrap w:val="0"/>
            <w:vAlign w:val="center"/>
          </w:tcPr>
          <w:p w14:paraId="7DACB086">
            <w:pPr>
              <w:widowControl w:val="0"/>
              <w:adjustRightInd w:val="0"/>
              <w:snapToGrid w:val="0"/>
              <w:spacing w:before="156" w:beforeLines="50" w:line="360" w:lineRule="auto"/>
              <w:rPr>
                <w:rFonts w:ascii="宋体" w:hAnsi="宋体" w:eastAsia="宋体" w:cs="宋体"/>
                <w:color w:val="auto"/>
                <w:kern w:val="0"/>
                <w:szCs w:val="21"/>
              </w:rPr>
            </w:pPr>
            <w:r>
              <w:rPr>
                <w:rFonts w:hint="eastAsia" w:ascii="宋体" w:hAnsi="宋体"/>
                <w:color w:val="auto"/>
                <w:szCs w:val="21"/>
              </w:rPr>
              <w:t>90日（日历日）；</w:t>
            </w:r>
          </w:p>
        </w:tc>
      </w:tr>
      <w:tr w14:paraId="7EBD8B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4DBA1EDB">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2686" w:type="dxa"/>
            <w:noWrap w:val="0"/>
            <w:vAlign w:val="center"/>
          </w:tcPr>
          <w:p w14:paraId="1E65BE8D">
            <w:pPr>
              <w:widowControl w:val="0"/>
              <w:adjustRightInd w:val="0"/>
              <w:snapToGrid w:val="0"/>
              <w:spacing w:line="360" w:lineRule="exact"/>
              <w:textAlignment w:val="auto"/>
              <w:rPr>
                <w:rFonts w:ascii="宋体" w:hAnsi="宋体" w:eastAsia="宋体" w:cs="宋体"/>
                <w:color w:val="auto"/>
                <w:kern w:val="0"/>
                <w:szCs w:val="21"/>
              </w:rPr>
            </w:pPr>
            <w:r>
              <w:rPr>
                <w:rFonts w:hint="eastAsia" w:ascii="宋体" w:hAnsi="宋体" w:cs="Times New Roman"/>
                <w:color w:val="auto"/>
                <w:szCs w:val="21"/>
              </w:rPr>
              <w:t>投标人递交的投标报价唯一性；</w:t>
            </w:r>
          </w:p>
        </w:tc>
        <w:tc>
          <w:tcPr>
            <w:tcW w:w="5691" w:type="dxa"/>
            <w:noWrap w:val="0"/>
            <w:vAlign w:val="center"/>
          </w:tcPr>
          <w:p w14:paraId="542D25A1">
            <w:pPr>
              <w:widowControl w:val="0"/>
              <w:adjustRightInd w:val="0"/>
              <w:snapToGrid w:val="0"/>
              <w:spacing w:before="156" w:beforeLines="50" w:line="360" w:lineRule="auto"/>
              <w:rPr>
                <w:rFonts w:ascii="宋体" w:hAnsi="宋体" w:eastAsia="宋体" w:cs="宋体"/>
                <w:color w:val="auto"/>
                <w:kern w:val="0"/>
                <w:szCs w:val="21"/>
              </w:rPr>
            </w:pPr>
            <w:r>
              <w:rPr>
                <w:rFonts w:hint="eastAsia" w:ascii="宋体" w:hAnsi="宋体"/>
                <w:color w:val="auto"/>
                <w:szCs w:val="21"/>
              </w:rPr>
              <w:t>投标人是否存在递交的投标报价前后不一致；</w:t>
            </w:r>
          </w:p>
        </w:tc>
      </w:tr>
      <w:tr w14:paraId="1730AC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2051AF71">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2686" w:type="dxa"/>
            <w:noWrap w:val="0"/>
            <w:vAlign w:val="center"/>
          </w:tcPr>
          <w:p w14:paraId="0B3602F0">
            <w:pPr>
              <w:widowControl w:val="0"/>
              <w:adjustRightInd w:val="0"/>
              <w:snapToGrid w:val="0"/>
              <w:spacing w:line="360" w:lineRule="exact"/>
              <w:textAlignment w:val="auto"/>
              <w:rPr>
                <w:rFonts w:ascii="宋体" w:hAnsi="宋体" w:eastAsia="宋体"/>
                <w:color w:val="auto"/>
                <w:kern w:val="0"/>
                <w:szCs w:val="21"/>
              </w:rPr>
            </w:pPr>
            <w:r>
              <w:rPr>
                <w:rFonts w:hint="eastAsia" w:ascii="宋体" w:hAnsi="宋体" w:cs="宋体"/>
                <w:color w:val="auto"/>
                <w:szCs w:val="21"/>
              </w:rPr>
              <w:t>投标范围满足招标文件要求；</w:t>
            </w:r>
          </w:p>
        </w:tc>
        <w:tc>
          <w:tcPr>
            <w:tcW w:w="5691" w:type="dxa"/>
            <w:noWrap w:val="0"/>
            <w:vAlign w:val="center"/>
          </w:tcPr>
          <w:p w14:paraId="247D4E37">
            <w:pPr>
              <w:widowControl w:val="0"/>
              <w:adjustRightInd w:val="0"/>
              <w:snapToGrid w:val="0"/>
              <w:spacing w:before="156" w:beforeLines="50" w:line="360" w:lineRule="auto"/>
              <w:rPr>
                <w:rFonts w:ascii="宋体" w:hAnsi="宋体" w:eastAsia="宋体" w:cs="宋体"/>
                <w:color w:val="auto"/>
                <w:kern w:val="0"/>
                <w:szCs w:val="21"/>
              </w:rPr>
            </w:pPr>
            <w:r>
              <w:rPr>
                <w:rFonts w:hint="eastAsia" w:ascii="宋体" w:hAnsi="宋体"/>
                <w:color w:val="auto"/>
                <w:szCs w:val="21"/>
              </w:rPr>
              <w:t>投标范围是否存在不满足招标文件要求；</w:t>
            </w:r>
          </w:p>
        </w:tc>
      </w:tr>
      <w:tr w14:paraId="66E6E2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2DA6BCE0">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2686" w:type="dxa"/>
            <w:noWrap w:val="0"/>
            <w:vAlign w:val="center"/>
          </w:tcPr>
          <w:p w14:paraId="64C679CF">
            <w:pPr>
              <w:widowControl w:val="0"/>
              <w:adjustRightInd w:val="0"/>
              <w:snapToGrid w:val="0"/>
              <w:spacing w:line="360" w:lineRule="exact"/>
              <w:textAlignment w:val="auto"/>
              <w:rPr>
                <w:rFonts w:ascii="宋体" w:hAnsi="宋体" w:eastAsia="宋体"/>
                <w:color w:val="auto"/>
                <w:kern w:val="0"/>
                <w:szCs w:val="21"/>
              </w:rPr>
            </w:pPr>
            <w:r>
              <w:rPr>
                <w:rFonts w:hint="eastAsia" w:ascii="宋体" w:hAnsi="宋体" w:cs="Times New Roman"/>
                <w:color w:val="auto"/>
                <w:szCs w:val="21"/>
              </w:rPr>
              <w:t>投标文件没有对招标文件的实质性要求和条件作出响应，或者对招标文件的偏离超出招标文件规定的偏离范围和幅度；</w:t>
            </w:r>
          </w:p>
        </w:tc>
        <w:tc>
          <w:tcPr>
            <w:tcW w:w="5691" w:type="dxa"/>
            <w:noWrap w:val="0"/>
            <w:vAlign w:val="center"/>
          </w:tcPr>
          <w:p w14:paraId="1677805B">
            <w:pPr>
              <w:widowControl w:val="0"/>
              <w:adjustRightInd w:val="0"/>
              <w:snapToGrid w:val="0"/>
              <w:spacing w:before="156" w:beforeLines="50" w:line="360" w:lineRule="auto"/>
              <w:rPr>
                <w:rFonts w:ascii="宋体" w:hAnsi="宋体" w:eastAsia="宋体" w:cs="宋体"/>
                <w:color w:val="auto"/>
                <w:kern w:val="0"/>
                <w:szCs w:val="21"/>
              </w:rPr>
            </w:pPr>
            <w:r>
              <w:rPr>
                <w:rFonts w:hint="eastAsia" w:ascii="宋体" w:hAnsi="宋体"/>
                <w:color w:val="auto"/>
                <w:szCs w:val="21"/>
              </w:rPr>
              <w:t>投标文件是否存在对招标文件的实质性要求和条件作出响应，或者对招标文件的偏离超出招标文件规定的偏离范围和幅度；</w:t>
            </w:r>
            <w:r>
              <w:rPr>
                <w:rFonts w:hint="eastAsia" w:ascii="宋体" w:hAnsi="宋体"/>
                <w:color w:val="auto"/>
                <w:szCs w:val="21"/>
                <w:lang w:eastAsia="zh-CN"/>
              </w:rPr>
              <w:t>投</w:t>
            </w:r>
            <w:r>
              <w:rPr>
                <w:rFonts w:hint="eastAsia" w:ascii="宋体" w:hAnsi="宋体"/>
                <w:color w:val="auto"/>
                <w:szCs w:val="21"/>
              </w:rPr>
              <w:t>标文件的负偏离项数之和≤</w:t>
            </w:r>
            <w:r>
              <w:rPr>
                <w:rFonts w:hint="eastAsia" w:ascii="宋体" w:hAnsi="宋体"/>
                <w:color w:val="auto"/>
                <w:szCs w:val="21"/>
                <w:highlight w:val="none"/>
                <w:lang w:val="en-US" w:eastAsia="zh-CN"/>
              </w:rPr>
              <w:t>10</w:t>
            </w:r>
            <w:r>
              <w:rPr>
                <w:rFonts w:hint="eastAsia" w:ascii="宋体" w:hAnsi="宋体"/>
                <w:color w:val="auto"/>
                <w:szCs w:val="21"/>
              </w:rPr>
              <w:t>项；</w:t>
            </w:r>
          </w:p>
        </w:tc>
      </w:tr>
      <w:tr w14:paraId="3FC24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42306E02">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2686" w:type="dxa"/>
            <w:noWrap w:val="0"/>
            <w:vAlign w:val="center"/>
          </w:tcPr>
          <w:p w14:paraId="4286DB12">
            <w:pPr>
              <w:widowControl w:val="0"/>
              <w:adjustRightInd w:val="0"/>
              <w:snapToGrid w:val="0"/>
              <w:spacing w:line="360" w:lineRule="exact"/>
              <w:textAlignment w:val="auto"/>
              <w:rPr>
                <w:rFonts w:ascii="宋体" w:hAnsi="宋体" w:eastAsia="宋体" w:cs="宋体"/>
                <w:color w:val="auto"/>
                <w:kern w:val="0"/>
                <w:szCs w:val="21"/>
              </w:rPr>
            </w:pPr>
            <w:r>
              <w:rPr>
                <w:rFonts w:hint="eastAsia" w:ascii="宋体" w:hAnsi="宋体" w:cs="宋体"/>
                <w:color w:val="auto"/>
                <w:szCs w:val="21"/>
              </w:rPr>
              <w:t>标注 “</w:t>
            </w:r>
            <w:r>
              <w:rPr>
                <w:rFonts w:hint="eastAsia" w:ascii="宋体" w:hAnsi="宋体" w:cs="Times New Roman"/>
                <w:color w:val="auto"/>
                <w:szCs w:val="21"/>
              </w:rPr>
              <w:t>★</w:t>
            </w:r>
            <w:r>
              <w:rPr>
                <w:rFonts w:hint="eastAsia" w:ascii="宋体" w:hAnsi="宋体" w:cs="宋体"/>
                <w:color w:val="auto"/>
                <w:szCs w:val="21"/>
              </w:rPr>
              <w:t>”符号的条款为实质性要求条款（即重要条款），对其中任何一条的偏离，在评标时将其视为无效投标；</w:t>
            </w:r>
          </w:p>
        </w:tc>
        <w:tc>
          <w:tcPr>
            <w:tcW w:w="5691" w:type="dxa"/>
            <w:noWrap w:val="0"/>
            <w:vAlign w:val="center"/>
          </w:tcPr>
          <w:p w14:paraId="3457A96D">
            <w:pPr>
              <w:widowControl w:val="0"/>
              <w:adjustRightInd w:val="0"/>
              <w:snapToGrid w:val="0"/>
              <w:spacing w:before="156" w:beforeLines="50" w:line="360" w:lineRule="auto"/>
              <w:rPr>
                <w:rFonts w:ascii="宋体" w:hAnsi="宋体" w:eastAsia="宋体" w:cs="宋体"/>
                <w:color w:val="auto"/>
                <w:kern w:val="0"/>
                <w:szCs w:val="21"/>
              </w:rPr>
            </w:pPr>
            <w:r>
              <w:rPr>
                <w:rFonts w:hint="eastAsia" w:ascii="宋体" w:hAnsi="宋体"/>
                <w:color w:val="auto"/>
                <w:szCs w:val="21"/>
              </w:rPr>
              <w:t>投标文件是否对招标文件标记“</w:t>
            </w:r>
            <w:r>
              <w:rPr>
                <w:rFonts w:hint="eastAsia" w:ascii="宋体" w:hAnsi="宋体" w:cs="Times New Roman"/>
                <w:color w:val="auto"/>
                <w:szCs w:val="21"/>
              </w:rPr>
              <w:t>★</w:t>
            </w:r>
            <w:r>
              <w:rPr>
                <w:rFonts w:hint="eastAsia" w:ascii="宋体" w:hAnsi="宋体"/>
                <w:color w:val="auto"/>
                <w:szCs w:val="21"/>
              </w:rPr>
              <w:t>”符号的条款做出实质性响应；</w:t>
            </w:r>
          </w:p>
        </w:tc>
      </w:tr>
      <w:tr w14:paraId="1FB3D0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23FB81EA">
            <w:pPr>
              <w:adjustRightInd w:val="0"/>
              <w:snapToGrid w:val="0"/>
              <w:spacing w:before="156"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2686" w:type="dxa"/>
            <w:noWrap w:val="0"/>
            <w:vAlign w:val="center"/>
          </w:tcPr>
          <w:p w14:paraId="070D8128">
            <w:pPr>
              <w:widowControl w:val="0"/>
              <w:adjustRightInd w:val="0"/>
              <w:snapToGrid w:val="0"/>
              <w:spacing w:line="360" w:lineRule="exact"/>
              <w:textAlignment w:val="auto"/>
              <w:rPr>
                <w:rFonts w:ascii="宋体" w:hAnsi="宋体" w:eastAsia="宋体" w:cs="宋体"/>
                <w:color w:val="auto"/>
                <w:kern w:val="0"/>
                <w:szCs w:val="21"/>
              </w:rPr>
            </w:pPr>
            <w:r>
              <w:rPr>
                <w:rFonts w:hint="eastAsia" w:ascii="宋体" w:hAnsi="宋体" w:cs="Times New Roman"/>
                <w:color w:val="auto"/>
                <w:szCs w:val="21"/>
              </w:rPr>
              <w:t>投标文件含有采购人不能接受的附加条件的；</w:t>
            </w:r>
          </w:p>
        </w:tc>
        <w:tc>
          <w:tcPr>
            <w:tcW w:w="5691" w:type="dxa"/>
            <w:noWrap w:val="0"/>
            <w:vAlign w:val="center"/>
          </w:tcPr>
          <w:p w14:paraId="3C4D1121">
            <w:pPr>
              <w:widowControl w:val="0"/>
              <w:adjustRightInd w:val="0"/>
              <w:snapToGrid w:val="0"/>
              <w:spacing w:before="156" w:beforeLines="50" w:line="360" w:lineRule="auto"/>
              <w:rPr>
                <w:rFonts w:ascii="宋体" w:hAnsi="宋体" w:eastAsia="宋体" w:cs="宋体"/>
                <w:color w:val="auto"/>
                <w:kern w:val="0"/>
                <w:szCs w:val="21"/>
              </w:rPr>
            </w:pPr>
            <w:r>
              <w:rPr>
                <w:rFonts w:ascii="宋体" w:hAnsi="宋体"/>
                <w:color w:val="auto"/>
                <w:szCs w:val="21"/>
              </w:rPr>
              <w:t>是否存在</w:t>
            </w:r>
            <w:r>
              <w:rPr>
                <w:rFonts w:hint="eastAsia" w:ascii="宋体" w:hAnsi="宋体"/>
                <w:color w:val="auto"/>
                <w:szCs w:val="21"/>
              </w:rPr>
              <w:t>投标文件含有采购人不能接受的附加条件的；</w:t>
            </w:r>
          </w:p>
        </w:tc>
      </w:tr>
      <w:tr w14:paraId="12BE3E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179DB622">
            <w:pPr>
              <w:adjustRightInd w:val="0"/>
              <w:snapToGrid w:val="0"/>
              <w:spacing w:before="156" w:beforeLines="50" w:line="360" w:lineRule="auto"/>
              <w:jc w:val="center"/>
              <w:rPr>
                <w:rFonts w:ascii="宋体" w:hAnsi="宋体" w:eastAsia="宋体"/>
                <w:color w:val="auto"/>
                <w:kern w:val="0"/>
                <w:szCs w:val="21"/>
              </w:rPr>
            </w:pPr>
            <w:r>
              <w:rPr>
                <w:rFonts w:hint="eastAsia" w:ascii="宋体" w:hAnsi="宋体" w:eastAsia="宋体"/>
                <w:color w:val="auto"/>
                <w:kern w:val="0"/>
                <w:szCs w:val="21"/>
              </w:rPr>
              <w:t>8</w:t>
            </w:r>
          </w:p>
        </w:tc>
        <w:tc>
          <w:tcPr>
            <w:tcW w:w="2686" w:type="dxa"/>
            <w:noWrap w:val="0"/>
            <w:vAlign w:val="center"/>
          </w:tcPr>
          <w:p w14:paraId="010A7FE8">
            <w:pPr>
              <w:widowControl w:val="0"/>
              <w:adjustRightInd w:val="0"/>
              <w:snapToGrid w:val="0"/>
              <w:spacing w:line="360" w:lineRule="exact"/>
              <w:textAlignment w:val="auto"/>
              <w:rPr>
                <w:rFonts w:ascii="宋体" w:hAnsi="宋体" w:eastAsia="宋体" w:cs="宋体"/>
                <w:color w:val="auto"/>
                <w:kern w:val="0"/>
                <w:szCs w:val="21"/>
              </w:rPr>
            </w:pPr>
            <w:r>
              <w:rPr>
                <w:rFonts w:hint="eastAsia" w:ascii="宋体" w:hAnsi="宋体" w:cs="Times New Roman"/>
                <w:color w:val="auto"/>
                <w:szCs w:val="21"/>
              </w:rPr>
              <w:t>法律、法规和招标文件规定的其他投标无效情形的。</w:t>
            </w:r>
          </w:p>
        </w:tc>
        <w:tc>
          <w:tcPr>
            <w:tcW w:w="5691" w:type="dxa"/>
            <w:noWrap w:val="0"/>
            <w:vAlign w:val="center"/>
          </w:tcPr>
          <w:p w14:paraId="702030F5">
            <w:pPr>
              <w:widowControl w:val="0"/>
              <w:adjustRightInd w:val="0"/>
              <w:snapToGrid w:val="0"/>
              <w:spacing w:before="156" w:beforeLines="50" w:line="360" w:lineRule="auto"/>
              <w:rPr>
                <w:rFonts w:ascii="宋体" w:hAnsi="宋体" w:eastAsia="宋体" w:cs="宋体"/>
                <w:color w:val="auto"/>
                <w:kern w:val="0"/>
                <w:szCs w:val="21"/>
              </w:rPr>
            </w:pPr>
            <w:r>
              <w:rPr>
                <w:rFonts w:hint="eastAsia" w:ascii="宋体" w:hAnsi="宋体"/>
                <w:color w:val="auto"/>
                <w:szCs w:val="21"/>
              </w:rPr>
              <w:t>是否存在有招标文件规定的其他投标无效情形。</w:t>
            </w:r>
          </w:p>
        </w:tc>
      </w:tr>
      <w:tr w14:paraId="4D3D45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7D0EDAB">
            <w:pPr>
              <w:adjustRightInd w:val="0"/>
              <w:snapToGrid w:val="0"/>
              <w:spacing w:before="156" w:beforeLines="50" w:line="360" w:lineRule="auto"/>
              <w:jc w:val="center"/>
              <w:rPr>
                <w:rFonts w:ascii="宋体" w:hAnsi="宋体" w:eastAsia="宋体" w:cs="宋体"/>
                <w:color w:val="auto"/>
                <w:kern w:val="0"/>
                <w:sz w:val="20"/>
                <w:szCs w:val="21"/>
              </w:rPr>
            </w:pPr>
            <w:r>
              <w:rPr>
                <w:rFonts w:hint="eastAsia" w:ascii="宋体" w:hAnsi="宋体" w:eastAsia="宋体" w:cs="宋体"/>
                <w:color w:val="auto"/>
                <w:kern w:val="0"/>
                <w:sz w:val="20"/>
                <w:szCs w:val="21"/>
              </w:rPr>
              <w:t>结论</w:t>
            </w:r>
          </w:p>
        </w:tc>
        <w:tc>
          <w:tcPr>
            <w:tcW w:w="8377" w:type="dxa"/>
            <w:gridSpan w:val="2"/>
            <w:noWrap w:val="0"/>
            <w:vAlign w:val="center"/>
          </w:tcPr>
          <w:p w14:paraId="7E87A2F9">
            <w:pPr>
              <w:adjustRightInd w:val="0"/>
              <w:snapToGrid w:val="0"/>
              <w:spacing w:before="156" w:beforeLines="50" w:line="360" w:lineRule="auto"/>
              <w:jc w:val="left"/>
              <w:rPr>
                <w:rFonts w:hint="eastAsia" w:ascii="宋体" w:hAnsi="宋体" w:eastAsia="宋体" w:cs="宋体"/>
                <w:color w:val="auto"/>
                <w:kern w:val="0"/>
                <w:sz w:val="20"/>
                <w:szCs w:val="21"/>
                <w:lang w:eastAsia="zh-CN"/>
              </w:rPr>
            </w:pPr>
            <w:r>
              <w:rPr>
                <w:rFonts w:hint="eastAsia" w:ascii="宋体" w:hAnsi="宋体" w:cs="宋体"/>
                <w:color w:val="auto"/>
                <w:kern w:val="0"/>
                <w:sz w:val="20"/>
                <w:szCs w:val="21"/>
                <w:lang w:eastAsia="zh-CN"/>
              </w:rPr>
              <w:t>详见符合性审查结果一览表</w:t>
            </w:r>
          </w:p>
        </w:tc>
      </w:tr>
    </w:tbl>
    <w:p w14:paraId="1F4F1D96">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 xml:space="preserve"> </w:t>
      </w:r>
    </w:p>
    <w:p w14:paraId="37A9842F">
      <w:pPr>
        <w:widowControl/>
        <w:jc w:val="left"/>
        <w:rPr>
          <w:rFonts w:ascii="宋体" w:hAnsi="宋体" w:eastAsia="宋体"/>
          <w:color w:val="auto"/>
          <w:sz w:val="10"/>
          <w:szCs w:val="10"/>
        </w:rPr>
      </w:pPr>
      <w:r>
        <w:rPr>
          <w:rFonts w:ascii="宋体" w:hAnsi="宋体" w:eastAsia="宋体"/>
          <w:color w:val="auto"/>
          <w:szCs w:val="21"/>
        </w:rPr>
        <w:br w:type="page"/>
      </w:r>
    </w:p>
    <w:p w14:paraId="6BA8E5DB">
      <w:pPr>
        <w:pStyle w:val="6"/>
        <w:adjustRightInd w:val="0"/>
        <w:snapToGrid w:val="0"/>
        <w:spacing w:before="156" w:beforeLines="50" w:after="0" w:line="360" w:lineRule="auto"/>
        <w:rPr>
          <w:rFonts w:hint="eastAsia" w:ascii="黑体" w:hAnsi="黑体" w:eastAsia="黑体" w:cs="黑体"/>
          <w:b w:val="0"/>
          <w:bCs w:val="0"/>
          <w:color w:val="auto"/>
          <w:sz w:val="21"/>
          <w:szCs w:val="21"/>
        </w:rPr>
      </w:pPr>
      <w:bookmarkStart w:id="58" w:name="_Toc4788"/>
      <w:r>
        <w:rPr>
          <w:rFonts w:hint="eastAsia" w:ascii="黑体" w:hAnsi="黑体" w:eastAsia="黑体" w:cs="黑体"/>
          <w:b w:val="0"/>
          <w:bCs w:val="0"/>
          <w:color w:val="auto"/>
          <w:sz w:val="21"/>
          <w:szCs w:val="21"/>
        </w:rPr>
        <w:t>附表2 符合性审查结果一览表</w:t>
      </w:r>
      <w:bookmarkEnd w:id="58"/>
    </w:p>
    <w:p w14:paraId="1130F305">
      <w:pPr>
        <w:adjustRightInd w:val="0"/>
        <w:snapToGrid w:val="0"/>
        <w:spacing w:before="156"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符合性审查结果一览表</w:t>
      </w:r>
    </w:p>
    <w:p w14:paraId="599EDC92">
      <w:pPr>
        <w:adjustRightInd w:val="0"/>
        <w:snapToGrid w:val="0"/>
        <w:spacing w:before="156" w:beforeLines="50" w:line="360" w:lineRule="auto"/>
        <w:rPr>
          <w:rFonts w:ascii="宋体" w:hAnsi="宋体" w:eastAsia="宋体"/>
          <w:color w:val="auto"/>
          <w:szCs w:val="21"/>
        </w:rPr>
      </w:pPr>
      <w:r>
        <w:rPr>
          <w:rFonts w:hint="eastAsia" w:ascii="宋体" w:hAnsi="宋体" w:eastAsia="宋体"/>
          <w:color w:val="auto"/>
          <w:szCs w:val="21"/>
        </w:rPr>
        <w:t xml:space="preserve">项目名称：                                           </w:t>
      </w:r>
    </w:p>
    <w:tbl>
      <w:tblPr>
        <w:tblStyle w:val="26"/>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2E2A5B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center"/>
          </w:tcPr>
          <w:p w14:paraId="265C6018">
            <w:pPr>
              <w:jc w:val="center"/>
              <w:rPr>
                <w:rFonts w:ascii="宋体" w:hAnsi="宋体" w:eastAsia="宋体"/>
                <w:b/>
                <w:color w:val="auto"/>
                <w:kern w:val="0"/>
                <w:szCs w:val="21"/>
              </w:rPr>
            </w:pPr>
            <w:r>
              <w:rPr>
                <w:rFonts w:hint="eastAsia" w:ascii="宋体" w:hAnsi="宋体" w:eastAsia="宋体"/>
                <w:b/>
                <w:color w:val="auto"/>
                <w:kern w:val="0"/>
                <w:szCs w:val="21"/>
              </w:rPr>
              <w:t>序号</w:t>
            </w:r>
          </w:p>
        </w:tc>
        <w:tc>
          <w:tcPr>
            <w:tcW w:w="2963" w:type="dxa"/>
            <w:noWrap w:val="0"/>
            <w:vAlign w:val="center"/>
          </w:tcPr>
          <w:p w14:paraId="77316FB4">
            <w:pPr>
              <w:jc w:val="center"/>
              <w:rPr>
                <w:rFonts w:ascii="宋体" w:hAnsi="宋体" w:eastAsia="宋体"/>
                <w:b/>
                <w:color w:val="auto"/>
                <w:kern w:val="0"/>
                <w:szCs w:val="21"/>
              </w:rPr>
            </w:pPr>
            <w:r>
              <w:rPr>
                <w:rFonts w:hint="eastAsia" w:ascii="宋体" w:hAnsi="宋体" w:eastAsia="宋体"/>
                <w:b/>
                <w:color w:val="auto"/>
                <w:kern w:val="0"/>
                <w:szCs w:val="21"/>
              </w:rPr>
              <w:t>投标人名称</w:t>
            </w:r>
          </w:p>
        </w:tc>
        <w:tc>
          <w:tcPr>
            <w:tcW w:w="2439" w:type="dxa"/>
            <w:noWrap w:val="0"/>
            <w:vAlign w:val="center"/>
          </w:tcPr>
          <w:p w14:paraId="091DED63">
            <w:pPr>
              <w:jc w:val="center"/>
              <w:rPr>
                <w:rFonts w:ascii="宋体" w:hAnsi="宋体" w:eastAsia="宋体"/>
                <w:b/>
                <w:color w:val="auto"/>
                <w:kern w:val="0"/>
                <w:szCs w:val="21"/>
              </w:rPr>
            </w:pPr>
            <w:r>
              <w:rPr>
                <w:rFonts w:hint="eastAsia" w:ascii="宋体" w:hAnsi="宋体" w:eastAsia="宋体"/>
                <w:b/>
                <w:color w:val="auto"/>
                <w:kern w:val="0"/>
                <w:szCs w:val="21"/>
              </w:rPr>
              <w:t>符合性审查结果</w:t>
            </w:r>
          </w:p>
          <w:p w14:paraId="46868597">
            <w:pPr>
              <w:jc w:val="center"/>
              <w:rPr>
                <w:rFonts w:ascii="宋体" w:hAnsi="宋体" w:eastAsia="宋体"/>
                <w:b/>
                <w:color w:val="auto"/>
                <w:kern w:val="0"/>
                <w:szCs w:val="21"/>
              </w:rPr>
            </w:pPr>
            <w:r>
              <w:rPr>
                <w:rFonts w:hint="eastAsia" w:ascii="宋体" w:hAnsi="宋体" w:eastAsia="宋体"/>
                <w:b/>
                <w:color w:val="auto"/>
                <w:kern w:val="0"/>
                <w:szCs w:val="21"/>
              </w:rPr>
              <w:t>（合格/不合格）</w:t>
            </w:r>
          </w:p>
        </w:tc>
        <w:tc>
          <w:tcPr>
            <w:tcW w:w="2961" w:type="dxa"/>
            <w:noWrap w:val="0"/>
            <w:vAlign w:val="center"/>
          </w:tcPr>
          <w:p w14:paraId="4F186F2F">
            <w:pPr>
              <w:jc w:val="center"/>
              <w:rPr>
                <w:rFonts w:ascii="宋体" w:hAnsi="宋体" w:eastAsia="宋体"/>
                <w:b/>
                <w:color w:val="auto"/>
                <w:kern w:val="0"/>
                <w:szCs w:val="21"/>
              </w:rPr>
            </w:pPr>
            <w:r>
              <w:rPr>
                <w:rFonts w:hint="eastAsia" w:ascii="宋体" w:hAnsi="宋体" w:eastAsia="宋体"/>
                <w:b/>
                <w:color w:val="auto"/>
                <w:kern w:val="0"/>
                <w:szCs w:val="21"/>
              </w:rPr>
              <w:t>符合性审查不合格原因</w:t>
            </w:r>
          </w:p>
        </w:tc>
      </w:tr>
      <w:tr w14:paraId="352FE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036D704D">
            <w:pPr>
              <w:adjustRightInd w:val="0"/>
              <w:snapToGrid w:val="0"/>
              <w:spacing w:line="360" w:lineRule="auto"/>
              <w:rPr>
                <w:rFonts w:ascii="宋体" w:hAnsi="宋体" w:eastAsia="宋体"/>
                <w:color w:val="auto"/>
                <w:kern w:val="0"/>
                <w:sz w:val="24"/>
              </w:rPr>
            </w:pPr>
          </w:p>
        </w:tc>
        <w:tc>
          <w:tcPr>
            <w:tcW w:w="2963" w:type="dxa"/>
            <w:noWrap w:val="0"/>
            <w:vAlign w:val="top"/>
          </w:tcPr>
          <w:p w14:paraId="49F701C5">
            <w:pPr>
              <w:adjustRightInd w:val="0"/>
              <w:snapToGrid w:val="0"/>
              <w:spacing w:line="360" w:lineRule="auto"/>
              <w:rPr>
                <w:rFonts w:ascii="宋体" w:hAnsi="宋体" w:eastAsia="宋体"/>
                <w:color w:val="auto"/>
                <w:kern w:val="0"/>
                <w:sz w:val="24"/>
              </w:rPr>
            </w:pPr>
          </w:p>
        </w:tc>
        <w:tc>
          <w:tcPr>
            <w:tcW w:w="2439" w:type="dxa"/>
            <w:noWrap w:val="0"/>
            <w:vAlign w:val="top"/>
          </w:tcPr>
          <w:p w14:paraId="54A601BE">
            <w:pPr>
              <w:adjustRightInd w:val="0"/>
              <w:snapToGrid w:val="0"/>
              <w:spacing w:line="360" w:lineRule="auto"/>
              <w:rPr>
                <w:rFonts w:ascii="宋体" w:hAnsi="宋体" w:eastAsia="宋体"/>
                <w:color w:val="auto"/>
                <w:kern w:val="0"/>
                <w:sz w:val="24"/>
              </w:rPr>
            </w:pPr>
          </w:p>
        </w:tc>
        <w:tc>
          <w:tcPr>
            <w:tcW w:w="2961" w:type="dxa"/>
            <w:noWrap w:val="0"/>
            <w:vAlign w:val="top"/>
          </w:tcPr>
          <w:p w14:paraId="4618C38A">
            <w:pPr>
              <w:adjustRightInd w:val="0"/>
              <w:snapToGrid w:val="0"/>
              <w:spacing w:line="360" w:lineRule="auto"/>
              <w:rPr>
                <w:rFonts w:ascii="宋体" w:hAnsi="宋体" w:eastAsia="宋体"/>
                <w:color w:val="auto"/>
                <w:kern w:val="0"/>
                <w:sz w:val="24"/>
              </w:rPr>
            </w:pPr>
          </w:p>
        </w:tc>
      </w:tr>
      <w:tr w14:paraId="55E978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16F4A55A">
            <w:pPr>
              <w:adjustRightInd w:val="0"/>
              <w:snapToGrid w:val="0"/>
              <w:spacing w:line="360" w:lineRule="auto"/>
              <w:rPr>
                <w:rFonts w:ascii="宋体" w:hAnsi="宋体" w:eastAsia="宋体"/>
                <w:color w:val="auto"/>
                <w:kern w:val="0"/>
                <w:sz w:val="24"/>
              </w:rPr>
            </w:pPr>
          </w:p>
        </w:tc>
        <w:tc>
          <w:tcPr>
            <w:tcW w:w="2963" w:type="dxa"/>
            <w:noWrap w:val="0"/>
            <w:vAlign w:val="top"/>
          </w:tcPr>
          <w:p w14:paraId="00C57E20">
            <w:pPr>
              <w:adjustRightInd w:val="0"/>
              <w:snapToGrid w:val="0"/>
              <w:spacing w:line="360" w:lineRule="auto"/>
              <w:rPr>
                <w:rFonts w:ascii="宋体" w:hAnsi="宋体" w:eastAsia="宋体"/>
                <w:color w:val="auto"/>
                <w:kern w:val="0"/>
                <w:sz w:val="24"/>
              </w:rPr>
            </w:pPr>
          </w:p>
        </w:tc>
        <w:tc>
          <w:tcPr>
            <w:tcW w:w="2439" w:type="dxa"/>
            <w:noWrap w:val="0"/>
            <w:vAlign w:val="top"/>
          </w:tcPr>
          <w:p w14:paraId="44C18DBF">
            <w:pPr>
              <w:adjustRightInd w:val="0"/>
              <w:snapToGrid w:val="0"/>
              <w:spacing w:line="360" w:lineRule="auto"/>
              <w:rPr>
                <w:rFonts w:ascii="宋体" w:hAnsi="宋体" w:eastAsia="宋体"/>
                <w:color w:val="auto"/>
                <w:kern w:val="0"/>
                <w:sz w:val="24"/>
              </w:rPr>
            </w:pPr>
          </w:p>
        </w:tc>
        <w:tc>
          <w:tcPr>
            <w:tcW w:w="2961" w:type="dxa"/>
            <w:noWrap w:val="0"/>
            <w:vAlign w:val="top"/>
          </w:tcPr>
          <w:p w14:paraId="72EB9417">
            <w:pPr>
              <w:adjustRightInd w:val="0"/>
              <w:snapToGrid w:val="0"/>
              <w:spacing w:line="360" w:lineRule="auto"/>
              <w:rPr>
                <w:rFonts w:ascii="宋体" w:hAnsi="宋体" w:eastAsia="宋体"/>
                <w:color w:val="auto"/>
                <w:kern w:val="0"/>
                <w:sz w:val="24"/>
              </w:rPr>
            </w:pPr>
          </w:p>
        </w:tc>
      </w:tr>
      <w:tr w14:paraId="67B05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3B3C885F">
            <w:pPr>
              <w:adjustRightInd w:val="0"/>
              <w:snapToGrid w:val="0"/>
              <w:spacing w:line="360" w:lineRule="auto"/>
              <w:rPr>
                <w:rFonts w:ascii="宋体" w:hAnsi="宋体" w:eastAsia="宋体"/>
                <w:color w:val="auto"/>
                <w:kern w:val="0"/>
                <w:sz w:val="24"/>
              </w:rPr>
            </w:pPr>
          </w:p>
        </w:tc>
        <w:tc>
          <w:tcPr>
            <w:tcW w:w="2963" w:type="dxa"/>
            <w:noWrap w:val="0"/>
            <w:vAlign w:val="top"/>
          </w:tcPr>
          <w:p w14:paraId="6BF52526">
            <w:pPr>
              <w:adjustRightInd w:val="0"/>
              <w:snapToGrid w:val="0"/>
              <w:spacing w:line="360" w:lineRule="auto"/>
              <w:rPr>
                <w:rFonts w:ascii="宋体" w:hAnsi="宋体" w:eastAsia="宋体"/>
                <w:color w:val="auto"/>
                <w:kern w:val="0"/>
                <w:sz w:val="24"/>
              </w:rPr>
            </w:pPr>
          </w:p>
        </w:tc>
        <w:tc>
          <w:tcPr>
            <w:tcW w:w="2439" w:type="dxa"/>
            <w:noWrap w:val="0"/>
            <w:vAlign w:val="top"/>
          </w:tcPr>
          <w:p w14:paraId="054F548B">
            <w:pPr>
              <w:adjustRightInd w:val="0"/>
              <w:snapToGrid w:val="0"/>
              <w:spacing w:line="360" w:lineRule="auto"/>
              <w:rPr>
                <w:rFonts w:ascii="宋体" w:hAnsi="宋体" w:eastAsia="宋体"/>
                <w:color w:val="auto"/>
                <w:kern w:val="0"/>
                <w:sz w:val="24"/>
              </w:rPr>
            </w:pPr>
          </w:p>
        </w:tc>
        <w:tc>
          <w:tcPr>
            <w:tcW w:w="2961" w:type="dxa"/>
            <w:noWrap w:val="0"/>
            <w:vAlign w:val="top"/>
          </w:tcPr>
          <w:p w14:paraId="2D984162">
            <w:pPr>
              <w:adjustRightInd w:val="0"/>
              <w:snapToGrid w:val="0"/>
              <w:spacing w:line="360" w:lineRule="auto"/>
              <w:rPr>
                <w:rFonts w:ascii="宋体" w:hAnsi="宋体" w:eastAsia="宋体"/>
                <w:color w:val="auto"/>
                <w:kern w:val="0"/>
                <w:sz w:val="24"/>
              </w:rPr>
            </w:pPr>
          </w:p>
        </w:tc>
      </w:tr>
      <w:tr w14:paraId="3CBC8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01AE0E01">
            <w:pPr>
              <w:adjustRightInd w:val="0"/>
              <w:snapToGrid w:val="0"/>
              <w:spacing w:line="360" w:lineRule="auto"/>
              <w:rPr>
                <w:rFonts w:ascii="宋体" w:hAnsi="宋体" w:eastAsia="宋体"/>
                <w:color w:val="auto"/>
                <w:kern w:val="0"/>
                <w:sz w:val="24"/>
              </w:rPr>
            </w:pPr>
          </w:p>
        </w:tc>
        <w:tc>
          <w:tcPr>
            <w:tcW w:w="2963" w:type="dxa"/>
            <w:noWrap w:val="0"/>
            <w:vAlign w:val="top"/>
          </w:tcPr>
          <w:p w14:paraId="18B5BA64">
            <w:pPr>
              <w:adjustRightInd w:val="0"/>
              <w:snapToGrid w:val="0"/>
              <w:spacing w:line="360" w:lineRule="auto"/>
              <w:rPr>
                <w:rFonts w:ascii="宋体" w:hAnsi="宋体" w:eastAsia="宋体"/>
                <w:color w:val="auto"/>
                <w:kern w:val="0"/>
                <w:sz w:val="24"/>
              </w:rPr>
            </w:pPr>
          </w:p>
        </w:tc>
        <w:tc>
          <w:tcPr>
            <w:tcW w:w="2439" w:type="dxa"/>
            <w:noWrap w:val="0"/>
            <w:vAlign w:val="top"/>
          </w:tcPr>
          <w:p w14:paraId="3B980D4D">
            <w:pPr>
              <w:adjustRightInd w:val="0"/>
              <w:snapToGrid w:val="0"/>
              <w:spacing w:line="360" w:lineRule="auto"/>
              <w:rPr>
                <w:rFonts w:ascii="宋体" w:hAnsi="宋体" w:eastAsia="宋体"/>
                <w:color w:val="auto"/>
                <w:kern w:val="0"/>
                <w:sz w:val="24"/>
              </w:rPr>
            </w:pPr>
          </w:p>
        </w:tc>
        <w:tc>
          <w:tcPr>
            <w:tcW w:w="2961" w:type="dxa"/>
            <w:noWrap w:val="0"/>
            <w:vAlign w:val="top"/>
          </w:tcPr>
          <w:p w14:paraId="3897E8CD">
            <w:pPr>
              <w:adjustRightInd w:val="0"/>
              <w:snapToGrid w:val="0"/>
              <w:spacing w:line="360" w:lineRule="auto"/>
              <w:rPr>
                <w:rFonts w:ascii="宋体" w:hAnsi="宋体" w:eastAsia="宋体"/>
                <w:color w:val="auto"/>
                <w:kern w:val="0"/>
                <w:sz w:val="24"/>
              </w:rPr>
            </w:pPr>
          </w:p>
        </w:tc>
      </w:tr>
      <w:tr w14:paraId="6AE46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40204B72">
            <w:pPr>
              <w:adjustRightInd w:val="0"/>
              <w:snapToGrid w:val="0"/>
              <w:spacing w:line="360" w:lineRule="auto"/>
              <w:rPr>
                <w:rFonts w:ascii="宋体" w:hAnsi="宋体" w:eastAsia="宋体"/>
                <w:color w:val="auto"/>
                <w:kern w:val="0"/>
                <w:sz w:val="24"/>
              </w:rPr>
            </w:pPr>
          </w:p>
        </w:tc>
        <w:tc>
          <w:tcPr>
            <w:tcW w:w="2963" w:type="dxa"/>
            <w:noWrap w:val="0"/>
            <w:vAlign w:val="top"/>
          </w:tcPr>
          <w:p w14:paraId="27629A49">
            <w:pPr>
              <w:adjustRightInd w:val="0"/>
              <w:snapToGrid w:val="0"/>
              <w:spacing w:line="360" w:lineRule="auto"/>
              <w:rPr>
                <w:rFonts w:ascii="宋体" w:hAnsi="宋体" w:eastAsia="宋体"/>
                <w:color w:val="auto"/>
                <w:kern w:val="0"/>
                <w:sz w:val="24"/>
              </w:rPr>
            </w:pPr>
          </w:p>
        </w:tc>
        <w:tc>
          <w:tcPr>
            <w:tcW w:w="2439" w:type="dxa"/>
            <w:noWrap w:val="0"/>
            <w:vAlign w:val="top"/>
          </w:tcPr>
          <w:p w14:paraId="4F25F2C7">
            <w:pPr>
              <w:adjustRightInd w:val="0"/>
              <w:snapToGrid w:val="0"/>
              <w:spacing w:line="360" w:lineRule="auto"/>
              <w:rPr>
                <w:rFonts w:ascii="宋体" w:hAnsi="宋体" w:eastAsia="宋体"/>
                <w:color w:val="auto"/>
                <w:kern w:val="0"/>
                <w:sz w:val="24"/>
              </w:rPr>
            </w:pPr>
          </w:p>
        </w:tc>
        <w:tc>
          <w:tcPr>
            <w:tcW w:w="2961" w:type="dxa"/>
            <w:noWrap w:val="0"/>
            <w:vAlign w:val="top"/>
          </w:tcPr>
          <w:p w14:paraId="16387B91">
            <w:pPr>
              <w:adjustRightInd w:val="0"/>
              <w:snapToGrid w:val="0"/>
              <w:spacing w:line="360" w:lineRule="auto"/>
              <w:rPr>
                <w:rFonts w:ascii="宋体" w:hAnsi="宋体" w:eastAsia="宋体"/>
                <w:color w:val="auto"/>
                <w:kern w:val="0"/>
                <w:sz w:val="24"/>
              </w:rPr>
            </w:pPr>
          </w:p>
        </w:tc>
      </w:tr>
      <w:tr w14:paraId="16DA42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51B990B9">
            <w:pPr>
              <w:adjustRightInd w:val="0"/>
              <w:snapToGrid w:val="0"/>
              <w:spacing w:line="360" w:lineRule="auto"/>
              <w:rPr>
                <w:rFonts w:ascii="宋体" w:hAnsi="宋体" w:eastAsia="宋体"/>
                <w:color w:val="auto"/>
                <w:kern w:val="0"/>
                <w:sz w:val="24"/>
              </w:rPr>
            </w:pPr>
          </w:p>
        </w:tc>
        <w:tc>
          <w:tcPr>
            <w:tcW w:w="2963" w:type="dxa"/>
            <w:noWrap w:val="0"/>
            <w:vAlign w:val="top"/>
          </w:tcPr>
          <w:p w14:paraId="38DE3BF7">
            <w:pPr>
              <w:adjustRightInd w:val="0"/>
              <w:snapToGrid w:val="0"/>
              <w:spacing w:line="360" w:lineRule="auto"/>
              <w:rPr>
                <w:rFonts w:ascii="宋体" w:hAnsi="宋体" w:eastAsia="宋体"/>
                <w:color w:val="auto"/>
                <w:kern w:val="0"/>
                <w:sz w:val="24"/>
              </w:rPr>
            </w:pPr>
          </w:p>
        </w:tc>
        <w:tc>
          <w:tcPr>
            <w:tcW w:w="2439" w:type="dxa"/>
            <w:noWrap w:val="0"/>
            <w:vAlign w:val="top"/>
          </w:tcPr>
          <w:p w14:paraId="20D94004">
            <w:pPr>
              <w:adjustRightInd w:val="0"/>
              <w:snapToGrid w:val="0"/>
              <w:spacing w:line="360" w:lineRule="auto"/>
              <w:rPr>
                <w:rFonts w:ascii="宋体" w:hAnsi="宋体" w:eastAsia="宋体"/>
                <w:color w:val="auto"/>
                <w:kern w:val="0"/>
                <w:sz w:val="24"/>
              </w:rPr>
            </w:pPr>
          </w:p>
        </w:tc>
        <w:tc>
          <w:tcPr>
            <w:tcW w:w="2961" w:type="dxa"/>
            <w:noWrap w:val="0"/>
            <w:vAlign w:val="top"/>
          </w:tcPr>
          <w:p w14:paraId="13E7FE6E">
            <w:pPr>
              <w:adjustRightInd w:val="0"/>
              <w:snapToGrid w:val="0"/>
              <w:spacing w:line="360" w:lineRule="auto"/>
              <w:rPr>
                <w:rFonts w:ascii="宋体" w:hAnsi="宋体" w:eastAsia="宋体"/>
                <w:color w:val="auto"/>
                <w:kern w:val="0"/>
                <w:sz w:val="24"/>
              </w:rPr>
            </w:pPr>
          </w:p>
        </w:tc>
      </w:tr>
      <w:tr w14:paraId="5EB5D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3BD5C10A">
            <w:pPr>
              <w:adjustRightInd w:val="0"/>
              <w:snapToGrid w:val="0"/>
              <w:spacing w:line="360" w:lineRule="auto"/>
              <w:rPr>
                <w:rFonts w:ascii="宋体" w:hAnsi="宋体" w:eastAsia="宋体"/>
                <w:color w:val="auto"/>
                <w:kern w:val="0"/>
                <w:sz w:val="24"/>
              </w:rPr>
            </w:pPr>
          </w:p>
        </w:tc>
        <w:tc>
          <w:tcPr>
            <w:tcW w:w="2963" w:type="dxa"/>
            <w:noWrap w:val="0"/>
            <w:vAlign w:val="top"/>
          </w:tcPr>
          <w:p w14:paraId="4023D8D4">
            <w:pPr>
              <w:adjustRightInd w:val="0"/>
              <w:snapToGrid w:val="0"/>
              <w:spacing w:line="360" w:lineRule="auto"/>
              <w:rPr>
                <w:rFonts w:ascii="宋体" w:hAnsi="宋体" w:eastAsia="宋体"/>
                <w:color w:val="auto"/>
                <w:kern w:val="0"/>
                <w:sz w:val="24"/>
              </w:rPr>
            </w:pPr>
          </w:p>
        </w:tc>
        <w:tc>
          <w:tcPr>
            <w:tcW w:w="2439" w:type="dxa"/>
            <w:noWrap w:val="0"/>
            <w:vAlign w:val="top"/>
          </w:tcPr>
          <w:p w14:paraId="5C83AFB7">
            <w:pPr>
              <w:adjustRightInd w:val="0"/>
              <w:snapToGrid w:val="0"/>
              <w:spacing w:line="360" w:lineRule="auto"/>
              <w:rPr>
                <w:rFonts w:ascii="宋体" w:hAnsi="宋体" w:eastAsia="宋体"/>
                <w:color w:val="auto"/>
                <w:kern w:val="0"/>
                <w:sz w:val="24"/>
              </w:rPr>
            </w:pPr>
          </w:p>
        </w:tc>
        <w:tc>
          <w:tcPr>
            <w:tcW w:w="2961" w:type="dxa"/>
            <w:noWrap w:val="0"/>
            <w:vAlign w:val="top"/>
          </w:tcPr>
          <w:p w14:paraId="65322EED">
            <w:pPr>
              <w:adjustRightInd w:val="0"/>
              <w:snapToGrid w:val="0"/>
              <w:spacing w:line="360" w:lineRule="auto"/>
              <w:rPr>
                <w:rFonts w:ascii="宋体" w:hAnsi="宋体" w:eastAsia="宋体"/>
                <w:color w:val="auto"/>
                <w:kern w:val="0"/>
                <w:sz w:val="24"/>
              </w:rPr>
            </w:pPr>
          </w:p>
        </w:tc>
      </w:tr>
      <w:tr w14:paraId="1FE886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018C641D">
            <w:pPr>
              <w:adjustRightInd w:val="0"/>
              <w:snapToGrid w:val="0"/>
              <w:spacing w:line="360" w:lineRule="auto"/>
              <w:rPr>
                <w:rFonts w:ascii="宋体" w:hAnsi="宋体" w:eastAsia="宋体"/>
                <w:color w:val="auto"/>
                <w:kern w:val="0"/>
                <w:sz w:val="24"/>
              </w:rPr>
            </w:pPr>
          </w:p>
        </w:tc>
        <w:tc>
          <w:tcPr>
            <w:tcW w:w="2963" w:type="dxa"/>
            <w:noWrap w:val="0"/>
            <w:vAlign w:val="top"/>
          </w:tcPr>
          <w:p w14:paraId="5194C26D">
            <w:pPr>
              <w:adjustRightInd w:val="0"/>
              <w:snapToGrid w:val="0"/>
              <w:spacing w:line="360" w:lineRule="auto"/>
              <w:rPr>
                <w:rFonts w:ascii="宋体" w:hAnsi="宋体" w:eastAsia="宋体"/>
                <w:color w:val="auto"/>
                <w:kern w:val="0"/>
                <w:sz w:val="24"/>
              </w:rPr>
            </w:pPr>
          </w:p>
        </w:tc>
        <w:tc>
          <w:tcPr>
            <w:tcW w:w="2439" w:type="dxa"/>
            <w:noWrap w:val="0"/>
            <w:vAlign w:val="top"/>
          </w:tcPr>
          <w:p w14:paraId="357B8167">
            <w:pPr>
              <w:adjustRightInd w:val="0"/>
              <w:snapToGrid w:val="0"/>
              <w:spacing w:line="360" w:lineRule="auto"/>
              <w:rPr>
                <w:rFonts w:ascii="宋体" w:hAnsi="宋体" w:eastAsia="宋体"/>
                <w:color w:val="auto"/>
                <w:kern w:val="0"/>
                <w:sz w:val="24"/>
              </w:rPr>
            </w:pPr>
          </w:p>
        </w:tc>
        <w:tc>
          <w:tcPr>
            <w:tcW w:w="2961" w:type="dxa"/>
            <w:noWrap w:val="0"/>
            <w:vAlign w:val="top"/>
          </w:tcPr>
          <w:p w14:paraId="3686C15D">
            <w:pPr>
              <w:adjustRightInd w:val="0"/>
              <w:snapToGrid w:val="0"/>
              <w:spacing w:line="360" w:lineRule="auto"/>
              <w:rPr>
                <w:rFonts w:ascii="宋体" w:hAnsi="宋体" w:eastAsia="宋体"/>
                <w:color w:val="auto"/>
                <w:kern w:val="0"/>
                <w:sz w:val="24"/>
              </w:rPr>
            </w:pPr>
          </w:p>
        </w:tc>
      </w:tr>
      <w:tr w14:paraId="271031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top"/>
          </w:tcPr>
          <w:p w14:paraId="1EC28FA3">
            <w:pPr>
              <w:adjustRightInd w:val="0"/>
              <w:snapToGrid w:val="0"/>
              <w:spacing w:line="360" w:lineRule="auto"/>
              <w:rPr>
                <w:rFonts w:ascii="宋体" w:hAnsi="宋体" w:eastAsia="宋体"/>
                <w:color w:val="auto"/>
                <w:kern w:val="0"/>
                <w:sz w:val="24"/>
              </w:rPr>
            </w:pPr>
          </w:p>
        </w:tc>
        <w:tc>
          <w:tcPr>
            <w:tcW w:w="2963" w:type="dxa"/>
            <w:noWrap w:val="0"/>
            <w:vAlign w:val="top"/>
          </w:tcPr>
          <w:p w14:paraId="67132AEC">
            <w:pPr>
              <w:adjustRightInd w:val="0"/>
              <w:snapToGrid w:val="0"/>
              <w:spacing w:line="360" w:lineRule="auto"/>
              <w:rPr>
                <w:rFonts w:ascii="宋体" w:hAnsi="宋体" w:eastAsia="宋体"/>
                <w:color w:val="auto"/>
                <w:kern w:val="0"/>
                <w:sz w:val="24"/>
              </w:rPr>
            </w:pPr>
          </w:p>
        </w:tc>
        <w:tc>
          <w:tcPr>
            <w:tcW w:w="2439" w:type="dxa"/>
            <w:noWrap w:val="0"/>
            <w:vAlign w:val="top"/>
          </w:tcPr>
          <w:p w14:paraId="1DA08447">
            <w:pPr>
              <w:adjustRightInd w:val="0"/>
              <w:snapToGrid w:val="0"/>
              <w:spacing w:line="360" w:lineRule="auto"/>
              <w:rPr>
                <w:rFonts w:ascii="宋体" w:hAnsi="宋体" w:eastAsia="宋体"/>
                <w:color w:val="auto"/>
                <w:kern w:val="0"/>
                <w:sz w:val="24"/>
              </w:rPr>
            </w:pPr>
          </w:p>
        </w:tc>
        <w:tc>
          <w:tcPr>
            <w:tcW w:w="2961" w:type="dxa"/>
            <w:noWrap w:val="0"/>
            <w:vAlign w:val="top"/>
          </w:tcPr>
          <w:p w14:paraId="7D228DE3">
            <w:pPr>
              <w:adjustRightInd w:val="0"/>
              <w:snapToGrid w:val="0"/>
              <w:spacing w:line="360" w:lineRule="auto"/>
              <w:rPr>
                <w:rFonts w:ascii="宋体" w:hAnsi="宋体" w:eastAsia="宋体"/>
                <w:color w:val="auto"/>
                <w:kern w:val="0"/>
                <w:sz w:val="24"/>
              </w:rPr>
            </w:pPr>
          </w:p>
        </w:tc>
      </w:tr>
    </w:tbl>
    <w:p w14:paraId="03D86042">
      <w:pPr>
        <w:widowControl/>
        <w:jc w:val="center"/>
        <w:rPr>
          <w:rFonts w:ascii="黑体" w:hAnsi="华文中宋" w:eastAsia="黑体"/>
          <w:color w:val="auto"/>
          <w:sz w:val="28"/>
          <w:szCs w:val="28"/>
        </w:rPr>
      </w:pPr>
      <w:r>
        <w:rPr>
          <w:rFonts w:ascii="黑体" w:hAnsi="黑体" w:eastAsia="黑体"/>
          <w:b w:val="0"/>
          <w:color w:val="auto"/>
          <w:sz w:val="32"/>
        </w:rPr>
        <w:br w:type="page"/>
      </w:r>
      <w:bookmarkStart w:id="59" w:name="_Toc18575"/>
      <w:bookmarkStart w:id="60" w:name="_Toc18878"/>
      <w:r>
        <w:rPr>
          <w:rFonts w:hint="eastAsia" w:ascii="黑体" w:hAnsi="华文中宋" w:eastAsia="黑体"/>
          <w:color w:val="auto"/>
          <w:sz w:val="28"/>
          <w:szCs w:val="28"/>
        </w:rPr>
        <w:t>第四节 投标文件的比较与评价（综合评分法）</w:t>
      </w:r>
      <w:bookmarkEnd w:id="59"/>
      <w:bookmarkEnd w:id="60"/>
    </w:p>
    <w:p w14:paraId="2DB556EC">
      <w:pPr>
        <w:widowControl/>
        <w:adjustRightInd w:val="0"/>
        <w:snapToGrid w:val="0"/>
        <w:spacing w:before="156" w:beforeLines="50" w:line="360" w:lineRule="auto"/>
        <w:jc w:val="left"/>
        <w:rPr>
          <w:rFonts w:ascii="黑体" w:hAnsi="黑体" w:eastAsia="黑体"/>
          <w:b/>
          <w:color w:val="auto"/>
          <w:sz w:val="24"/>
        </w:rPr>
      </w:pPr>
      <w:r>
        <w:rPr>
          <w:rFonts w:hint="eastAsia" w:ascii="黑体" w:hAnsi="黑体" w:eastAsia="黑体"/>
          <w:b/>
          <w:color w:val="auto"/>
          <w:sz w:val="24"/>
        </w:rPr>
        <w:t>1.</w:t>
      </w:r>
      <w:r>
        <w:rPr>
          <w:rFonts w:hint="eastAsia"/>
          <w:color w:val="auto"/>
        </w:rPr>
        <w:t xml:space="preserve"> </w:t>
      </w:r>
      <w:r>
        <w:rPr>
          <w:rFonts w:hint="eastAsia" w:ascii="黑体" w:hAnsi="黑体" w:eastAsia="黑体"/>
          <w:b/>
          <w:color w:val="auto"/>
          <w:sz w:val="24"/>
        </w:rPr>
        <w:t>综合评分法</w:t>
      </w:r>
    </w:p>
    <w:p w14:paraId="7A726E1E">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1.1综合评分法，指投标文件满足招标文件全部实质性要求，且按照评审因素的量化指标评审得分最高的投标人为中标候选人的评标方法。</w:t>
      </w:r>
    </w:p>
    <w:p w14:paraId="6811E46A">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1.2评标因素：评审因素的设定应当与投标人所提供货物服务的质量相关，包括投标报价、技术或者服务水平、履约能力、售后服务等，但不包括第一章投标人的资格要求。本采购项目的评标因素和标准见本章本节附表1“评标方法及标准表”。</w:t>
      </w:r>
    </w:p>
    <w:p w14:paraId="2CDBCDAE">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1.3未通过符合性审查的投标文件不得进入比较与评价。</w:t>
      </w:r>
    </w:p>
    <w:p w14:paraId="6B2261A0">
      <w:pPr>
        <w:adjustRightInd w:val="0"/>
        <w:snapToGrid w:val="0"/>
        <w:spacing w:before="156" w:beforeLines="50" w:line="360" w:lineRule="auto"/>
        <w:jc w:val="left"/>
        <w:rPr>
          <w:rFonts w:ascii="黑体" w:hAnsi="黑体" w:eastAsia="黑体"/>
          <w:b/>
          <w:bCs/>
          <w:color w:val="auto"/>
          <w:sz w:val="24"/>
        </w:rPr>
      </w:pPr>
      <w:r>
        <w:rPr>
          <w:rFonts w:hint="eastAsia" w:ascii="黑体" w:hAnsi="黑体" w:eastAsia="黑体"/>
          <w:b/>
          <w:bCs/>
          <w:color w:val="auto"/>
          <w:sz w:val="24"/>
        </w:rPr>
        <w:t>2.</w:t>
      </w:r>
      <w:r>
        <w:rPr>
          <w:rFonts w:hint="eastAsia"/>
          <w:color w:val="auto"/>
        </w:rPr>
        <w:t xml:space="preserve"> </w:t>
      </w:r>
      <w:r>
        <w:rPr>
          <w:rFonts w:hint="eastAsia" w:ascii="黑体" w:hAnsi="黑体" w:eastAsia="黑体"/>
          <w:b/>
          <w:bCs/>
          <w:color w:val="auto"/>
          <w:sz w:val="24"/>
        </w:rPr>
        <w:t>投标报价的算术修正及政府采购政策调整</w:t>
      </w:r>
    </w:p>
    <w:p w14:paraId="1345B2D7">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2.1如果有算术错误，投标报价将按本章第二节第4.2款、第4.3款规定进行算术修正。</w:t>
      </w:r>
    </w:p>
    <w:p w14:paraId="0BA52B51">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2.</w:t>
      </w:r>
      <w:r>
        <w:rPr>
          <w:rFonts w:hint="eastAsia" w:ascii="宋体" w:hAnsi="宋体"/>
          <w:bCs/>
          <w:color w:val="auto"/>
          <w:szCs w:val="21"/>
          <w:lang w:val="en-US" w:eastAsia="zh-CN"/>
        </w:rPr>
        <w:t>2</w:t>
      </w:r>
      <w:r>
        <w:rPr>
          <w:rFonts w:hint="eastAsia" w:ascii="宋体" w:hAnsi="宋体" w:eastAsia="宋体"/>
          <w:bCs/>
          <w:color w:val="auto"/>
          <w:szCs w:val="21"/>
        </w:rPr>
        <w:t>按本章本节第2.1款规定，以修正或调整后的价格确定投标人的投标报价和评标基准价，用于投标报价评价。</w:t>
      </w:r>
    </w:p>
    <w:p w14:paraId="62A1BB40">
      <w:pPr>
        <w:adjustRightInd w:val="0"/>
        <w:snapToGrid w:val="0"/>
        <w:spacing w:before="156" w:beforeLines="50" w:line="360" w:lineRule="auto"/>
        <w:jc w:val="left"/>
        <w:rPr>
          <w:rFonts w:ascii="黑体" w:hAnsi="黑体" w:eastAsia="黑体"/>
          <w:b/>
          <w:bCs/>
          <w:color w:val="auto"/>
          <w:sz w:val="24"/>
        </w:rPr>
      </w:pPr>
      <w:r>
        <w:rPr>
          <w:rFonts w:hint="eastAsia" w:ascii="黑体" w:hAnsi="黑体" w:eastAsia="黑体"/>
          <w:b/>
          <w:bCs/>
          <w:color w:val="auto"/>
          <w:sz w:val="24"/>
        </w:rPr>
        <w:t>3.</w:t>
      </w:r>
      <w:r>
        <w:rPr>
          <w:rFonts w:hint="eastAsia"/>
          <w:color w:val="auto"/>
        </w:rPr>
        <w:t xml:space="preserve"> </w:t>
      </w:r>
      <w:r>
        <w:rPr>
          <w:rFonts w:hint="eastAsia" w:ascii="黑体" w:hAnsi="黑体" w:eastAsia="黑体"/>
          <w:b/>
          <w:bCs/>
          <w:color w:val="auto"/>
          <w:sz w:val="24"/>
        </w:rPr>
        <w:t>投标报价评价</w:t>
      </w:r>
    </w:p>
    <w:p w14:paraId="0751D5B0">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3.1投标报价评价：价格分应当采用低价优先法计算，即满足招标文件要求且投标价格最低的投标报价为评标基准价，其价格分为满分（报价权重分）。其他投标人的价格分统一按照下列公式计算：</w:t>
      </w:r>
    </w:p>
    <w:p w14:paraId="3E151A7E">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投标报价得分=（评标基准价</w:t>
      </w:r>
      <w:r>
        <w:rPr>
          <w:rFonts w:hint="eastAsia" w:ascii="宋体" w:hAnsi="宋体" w:eastAsia="宋体"/>
          <w:color w:val="auto"/>
          <w:szCs w:val="21"/>
          <w:vertAlign w:val="subscript"/>
        </w:rPr>
        <w:t>修正或调整</w:t>
      </w:r>
      <w:r>
        <w:rPr>
          <w:rFonts w:hint="eastAsia" w:ascii="宋体" w:hAnsi="宋体" w:eastAsia="宋体"/>
          <w:color w:val="auto"/>
          <w:szCs w:val="21"/>
        </w:rPr>
        <w:t>／投标报价</w:t>
      </w:r>
      <w:r>
        <w:rPr>
          <w:rFonts w:hint="eastAsia" w:ascii="宋体" w:hAnsi="宋体" w:eastAsia="宋体"/>
          <w:color w:val="auto"/>
          <w:szCs w:val="21"/>
          <w:vertAlign w:val="subscript"/>
        </w:rPr>
        <w:t>修正或调整</w:t>
      </w:r>
      <w:r>
        <w:rPr>
          <w:rFonts w:hint="eastAsia" w:ascii="宋体" w:hAnsi="宋体" w:eastAsia="宋体"/>
          <w:color w:val="auto"/>
          <w:szCs w:val="21"/>
        </w:rPr>
        <w:t>） ×100×报价权值</w:t>
      </w:r>
    </w:p>
    <w:p w14:paraId="024C9E70">
      <w:pPr>
        <w:numPr>
          <w:ilvl w:val="0"/>
          <w:numId w:val="3"/>
        </w:numPr>
        <w:adjustRightInd w:val="0"/>
        <w:snapToGrid w:val="0"/>
        <w:spacing w:before="156" w:beforeLines="50" w:line="360" w:lineRule="auto"/>
        <w:jc w:val="left"/>
        <w:rPr>
          <w:rFonts w:ascii="黑体" w:hAnsi="黑体" w:eastAsia="黑体"/>
          <w:b/>
          <w:color w:val="auto"/>
          <w:sz w:val="24"/>
        </w:rPr>
      </w:pPr>
      <w:r>
        <w:rPr>
          <w:rFonts w:hint="eastAsia" w:ascii="黑体" w:hAnsi="黑体" w:eastAsia="黑体"/>
          <w:b/>
          <w:color w:val="auto"/>
          <w:sz w:val="24"/>
        </w:rPr>
        <w:t>技术、商务等评分项响应评价</w:t>
      </w:r>
    </w:p>
    <w:p w14:paraId="28EAA14F">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4.1技术、商务等评分项响应评分。按</w:t>
      </w:r>
      <w:r>
        <w:rPr>
          <w:rFonts w:hint="eastAsia" w:ascii="宋体" w:hAnsi="宋体" w:eastAsia="宋体"/>
          <w:bCs/>
          <w:color w:val="auto"/>
          <w:szCs w:val="21"/>
        </w:rPr>
        <w:t>本章</w:t>
      </w:r>
      <w:r>
        <w:rPr>
          <w:rFonts w:hint="eastAsia" w:ascii="宋体" w:hAnsi="宋体" w:eastAsia="宋体"/>
          <w:color w:val="auto"/>
          <w:szCs w:val="21"/>
        </w:rPr>
        <w:t>本节附表1“评标方法及标准表”规定的评标因素和标准，对技术、商务等评分项计算得分。</w:t>
      </w:r>
    </w:p>
    <w:p w14:paraId="796C5DB9">
      <w:pPr>
        <w:numPr>
          <w:ilvl w:val="0"/>
          <w:numId w:val="3"/>
        </w:numPr>
        <w:adjustRightInd w:val="0"/>
        <w:snapToGrid w:val="0"/>
        <w:spacing w:before="156" w:beforeLines="50" w:line="360" w:lineRule="auto"/>
        <w:ind w:left="0" w:leftChars="0" w:firstLine="0" w:firstLineChars="0"/>
        <w:jc w:val="left"/>
        <w:rPr>
          <w:rFonts w:ascii="黑体" w:hAnsi="黑体" w:eastAsia="黑体"/>
          <w:b/>
          <w:color w:val="auto"/>
          <w:sz w:val="24"/>
        </w:rPr>
      </w:pPr>
      <w:r>
        <w:rPr>
          <w:rFonts w:hint="eastAsia" w:ascii="黑体" w:hAnsi="黑体" w:eastAsia="黑体"/>
          <w:b/>
          <w:color w:val="auto"/>
          <w:sz w:val="24"/>
        </w:rPr>
        <w:t>评标总得分</w:t>
      </w:r>
    </w:p>
    <w:p w14:paraId="5FE44F74">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5.1评标总得分为投标报价、技术、商务等评分项得分之和。</w:t>
      </w:r>
    </w:p>
    <w:p w14:paraId="5D6BD7DA">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评标总得分＝F</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p>
    <w:p w14:paraId="1C1DE1CE">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……F</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分别为各项评审因素的得分；</w:t>
      </w:r>
    </w:p>
    <w:p w14:paraId="643371E2">
      <w:pPr>
        <w:adjustRightInd w:val="0"/>
        <w:snapToGrid w:val="0"/>
        <w:spacing w:line="460" w:lineRule="exact"/>
        <w:ind w:firstLine="420" w:firstLineChars="200"/>
        <w:rPr>
          <w:rFonts w:ascii="宋体" w:hAnsi="宋体" w:cs="宋体"/>
          <w:color w:val="auto"/>
          <w:kern w:val="0"/>
          <w:szCs w:val="21"/>
          <w:lang w:val="ru-RU" w:eastAsia="ru-RU"/>
        </w:rPr>
      </w:pP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分别为各项评审因素所占的权重（A</w:t>
      </w:r>
      <w:r>
        <w:rPr>
          <w:rFonts w:hint="eastAsia" w:ascii="宋体" w:hAnsi="宋体" w:cs="宋体"/>
          <w:color w:val="auto"/>
          <w:kern w:val="0"/>
          <w:szCs w:val="21"/>
          <w:vertAlign w:val="subscript"/>
          <w:lang w:val="ru-RU" w:eastAsia="ru-RU"/>
        </w:rPr>
        <w:t>1</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2</w:t>
      </w:r>
      <w:r>
        <w:rPr>
          <w:rFonts w:hint="eastAsia" w:ascii="宋体" w:hAnsi="宋体" w:cs="宋体"/>
          <w:color w:val="auto"/>
          <w:kern w:val="0"/>
          <w:szCs w:val="21"/>
          <w:lang w:val="ru-RU" w:eastAsia="ru-RU"/>
        </w:rPr>
        <w:t>＋…＋A</w:t>
      </w:r>
      <w:r>
        <w:rPr>
          <w:rFonts w:hint="eastAsia" w:ascii="宋体" w:hAnsi="宋体" w:cs="宋体"/>
          <w:color w:val="auto"/>
          <w:kern w:val="0"/>
          <w:szCs w:val="21"/>
          <w:vertAlign w:val="subscript"/>
          <w:lang w:val="ru-RU" w:eastAsia="ru-RU"/>
        </w:rPr>
        <w:t>n</w:t>
      </w:r>
      <w:r>
        <w:rPr>
          <w:rFonts w:hint="eastAsia" w:ascii="宋体" w:hAnsi="宋体" w:cs="宋体"/>
          <w:color w:val="auto"/>
          <w:kern w:val="0"/>
          <w:szCs w:val="21"/>
          <w:lang w:val="ru-RU" w:eastAsia="ru-RU"/>
        </w:rPr>
        <w:t>＝1）。</w:t>
      </w:r>
    </w:p>
    <w:p w14:paraId="205304C3">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5.2评分分值计算保留小数点后两位，小数点后第三位“四舍五入”。</w:t>
      </w:r>
    </w:p>
    <w:p w14:paraId="62275960">
      <w:pPr>
        <w:adjustRightInd w:val="0"/>
        <w:snapToGrid w:val="0"/>
        <w:spacing w:before="156" w:beforeLines="50" w:line="360" w:lineRule="auto"/>
        <w:ind w:firstLine="420" w:firstLineChars="200"/>
        <w:jc w:val="left"/>
        <w:rPr>
          <w:rFonts w:hint="eastAsia" w:ascii="宋体" w:hAnsi="宋体" w:eastAsia="宋体"/>
          <w:color w:val="auto"/>
          <w:szCs w:val="21"/>
          <w:lang w:eastAsia="zh-CN"/>
        </w:rPr>
      </w:pPr>
      <w:r>
        <w:rPr>
          <w:rFonts w:hint="eastAsia" w:ascii="宋体" w:hAnsi="宋体" w:eastAsia="宋体" w:cs="宋体"/>
          <w:color w:val="auto"/>
          <w:kern w:val="0"/>
          <w:szCs w:val="21"/>
        </w:rPr>
        <w:t>5.3</w:t>
      </w:r>
      <w:r>
        <w:rPr>
          <w:rFonts w:hint="eastAsia" w:ascii="宋体" w:hAnsi="宋体" w:eastAsia="宋体"/>
          <w:color w:val="auto"/>
          <w:szCs w:val="21"/>
        </w:rPr>
        <w:t>评标时，评标委员会成员应当独立对满足招标文件全部实质性要求投标人的</w:t>
      </w:r>
      <w:r>
        <w:rPr>
          <w:rFonts w:hint="eastAsia" w:ascii="宋体" w:hAnsi="宋体" w:eastAsia="宋体"/>
          <w:bCs/>
          <w:color w:val="auto"/>
          <w:szCs w:val="21"/>
        </w:rPr>
        <w:t>投标文件</w:t>
      </w:r>
      <w:r>
        <w:rPr>
          <w:rFonts w:hint="eastAsia" w:ascii="宋体" w:hAnsi="宋体" w:eastAsia="宋体"/>
          <w:color w:val="auto"/>
          <w:szCs w:val="21"/>
        </w:rPr>
        <w:t>进行评价、评分，然后汇总每个投标人每项评分因素的得分</w:t>
      </w:r>
      <w:r>
        <w:rPr>
          <w:rFonts w:hint="eastAsia" w:ascii="宋体" w:hAnsi="宋体"/>
          <w:color w:val="auto"/>
          <w:szCs w:val="21"/>
          <w:lang w:eastAsia="zh-CN"/>
        </w:rPr>
        <w:t>。</w:t>
      </w:r>
    </w:p>
    <w:p w14:paraId="65DD1E3E">
      <w:pPr>
        <w:numPr>
          <w:ilvl w:val="0"/>
          <w:numId w:val="3"/>
        </w:numPr>
        <w:adjustRightInd w:val="0"/>
        <w:snapToGrid w:val="0"/>
        <w:spacing w:before="156" w:beforeLines="50" w:line="360" w:lineRule="auto"/>
        <w:ind w:left="0" w:leftChars="0" w:firstLine="0" w:firstLineChars="0"/>
        <w:jc w:val="left"/>
        <w:rPr>
          <w:rFonts w:ascii="黑体" w:hAnsi="黑体" w:eastAsia="黑体"/>
          <w:b/>
          <w:bCs/>
          <w:color w:val="auto"/>
          <w:sz w:val="24"/>
        </w:rPr>
      </w:pPr>
      <w:r>
        <w:rPr>
          <w:rFonts w:hint="eastAsia" w:ascii="黑体" w:hAnsi="黑体" w:eastAsia="黑体"/>
          <w:b/>
          <w:bCs/>
          <w:color w:val="auto"/>
          <w:sz w:val="24"/>
        </w:rPr>
        <w:t>中标候选人的推荐方法</w:t>
      </w:r>
    </w:p>
    <w:p w14:paraId="5B688FEE">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051D271">
      <w:pPr>
        <w:adjustRightInd w:val="0"/>
        <w:snapToGrid w:val="0"/>
        <w:spacing w:before="156" w:beforeLines="50" w:line="360" w:lineRule="auto"/>
        <w:ind w:firstLine="420" w:firstLineChars="200"/>
        <w:jc w:val="left"/>
        <w:rPr>
          <w:rFonts w:ascii="宋体" w:hAnsi="宋体" w:eastAsia="宋体"/>
          <w:bCs/>
          <w:color w:val="auto"/>
          <w:szCs w:val="21"/>
        </w:rPr>
      </w:pPr>
      <w:r>
        <w:rPr>
          <w:rFonts w:hint="eastAsia" w:ascii="宋体" w:hAnsi="宋体" w:eastAsia="宋体"/>
          <w:bCs/>
          <w:color w:val="auto"/>
          <w:szCs w:val="21"/>
        </w:rPr>
        <w:t>6.2得分且投标报价相同的并列，按本章第二节规定确定中标候选人。</w:t>
      </w:r>
    </w:p>
    <w:p w14:paraId="16E57316">
      <w:pPr>
        <w:adjustRightInd w:val="0"/>
        <w:snapToGrid w:val="0"/>
        <w:spacing w:before="156" w:beforeLines="50" w:line="360" w:lineRule="auto"/>
        <w:ind w:firstLine="420" w:firstLineChars="200"/>
        <w:jc w:val="left"/>
        <w:rPr>
          <w:rFonts w:ascii="宋体" w:hAnsi="宋体" w:eastAsia="宋体"/>
          <w:bCs/>
          <w:color w:val="auto"/>
          <w:szCs w:val="21"/>
        </w:rPr>
      </w:pPr>
    </w:p>
    <w:p w14:paraId="06332CE0">
      <w:pPr>
        <w:widowControl/>
        <w:jc w:val="left"/>
        <w:rPr>
          <w:rFonts w:ascii="宋体" w:hAnsi="宋体" w:eastAsia="宋体"/>
          <w:bCs/>
          <w:color w:val="auto"/>
          <w:sz w:val="10"/>
          <w:szCs w:val="10"/>
        </w:rPr>
      </w:pPr>
      <w:r>
        <w:rPr>
          <w:rFonts w:ascii="宋体" w:hAnsi="宋体" w:eastAsia="宋体"/>
          <w:bCs/>
          <w:color w:val="auto"/>
          <w:szCs w:val="21"/>
        </w:rPr>
        <w:br w:type="page"/>
      </w:r>
    </w:p>
    <w:p w14:paraId="59B6EE15">
      <w:pPr>
        <w:adjustRightInd w:val="0"/>
        <w:snapToGrid w:val="0"/>
        <w:spacing w:line="360" w:lineRule="exact"/>
        <w:rPr>
          <w:rFonts w:hint="eastAsia" w:ascii="宋体" w:hAnsi="宋体" w:eastAsia="宋体" w:cs="Times New Roman"/>
          <w:bCs/>
          <w:color w:val="auto"/>
        </w:rPr>
      </w:pPr>
      <w:bookmarkStart w:id="61" w:name="_Toc27168"/>
      <w:bookmarkStart w:id="62" w:name="_Toc14508"/>
      <w:r>
        <w:rPr>
          <w:rFonts w:hint="eastAsia" w:ascii="宋体" w:hAnsi="宋体" w:eastAsia="宋体" w:cs="Times New Roman"/>
          <w:bCs/>
          <w:color w:val="auto"/>
        </w:rPr>
        <w:t>附表1 评标方法及标准表</w:t>
      </w:r>
      <w:bookmarkEnd w:id="61"/>
    </w:p>
    <w:p w14:paraId="548775D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本采购项目的权值见下表</w:t>
      </w:r>
      <w:r>
        <w:rPr>
          <w:rFonts w:hint="eastAsia" w:ascii="宋体" w:hAnsi="宋体"/>
          <w:color w:val="auto"/>
          <w:lang w:val="en-US" w:eastAsia="zh-CN"/>
        </w:rPr>
        <w:t>（根据项目类型设置）</w:t>
      </w:r>
    </w:p>
    <w:tbl>
      <w:tblPr>
        <w:tblStyle w:val="25"/>
        <w:tblW w:w="88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420"/>
      </w:tblGrid>
      <w:tr w14:paraId="55AE5D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0" w:type="dxa"/>
            <w:vAlign w:val="center"/>
          </w:tcPr>
          <w:p w14:paraId="00A83413">
            <w:pPr>
              <w:adjustRightInd w:val="0"/>
              <w:snapToGrid w:val="0"/>
              <w:spacing w:line="240" w:lineRule="exact"/>
              <w:rPr>
                <w:rFonts w:ascii="宋体" w:hAnsi="宋体"/>
                <w:color w:val="auto"/>
                <w:szCs w:val="21"/>
                <w:lang w:val="ru-RU" w:eastAsia="ru-RU"/>
              </w:rPr>
            </w:pPr>
            <w:r>
              <w:rPr>
                <w:rFonts w:hint="eastAsia" w:ascii="仿宋" w:hAnsi="仿宋" w:eastAsia="仿宋" w:cs="仿宋"/>
                <w:b/>
                <w:bCs/>
                <w:color w:val="auto"/>
                <w:kern w:val="0"/>
                <w:sz w:val="18"/>
                <w:szCs w:val="18"/>
                <w:lang w:val="ru-RU" w:eastAsia="ru-RU"/>
              </w:rPr>
              <w:t>序号</w:t>
            </w:r>
          </w:p>
        </w:tc>
        <w:tc>
          <w:tcPr>
            <w:tcW w:w="4680" w:type="dxa"/>
            <w:vAlign w:val="center"/>
          </w:tcPr>
          <w:p w14:paraId="55D82C98">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b/>
                <w:bCs/>
                <w:color w:val="auto"/>
                <w:kern w:val="0"/>
                <w:sz w:val="18"/>
                <w:szCs w:val="18"/>
                <w:lang w:val="ru-RU" w:eastAsia="ru-RU"/>
              </w:rPr>
              <w:t>项     目</w:t>
            </w:r>
          </w:p>
        </w:tc>
        <w:tc>
          <w:tcPr>
            <w:tcW w:w="3420" w:type="dxa"/>
            <w:vAlign w:val="center"/>
          </w:tcPr>
          <w:p w14:paraId="5E11A76A">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b/>
                <w:bCs/>
                <w:color w:val="auto"/>
                <w:kern w:val="0"/>
                <w:sz w:val="18"/>
                <w:szCs w:val="18"/>
                <w:lang w:val="ru-RU" w:eastAsia="ru-RU"/>
              </w:rPr>
              <w:t>权值的取值</w:t>
            </w:r>
          </w:p>
        </w:tc>
      </w:tr>
      <w:tr w14:paraId="2A2DD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720" w:type="dxa"/>
            <w:vAlign w:val="center"/>
          </w:tcPr>
          <w:p w14:paraId="37891521">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color w:val="auto"/>
                <w:kern w:val="0"/>
                <w:sz w:val="18"/>
                <w:szCs w:val="18"/>
                <w:lang w:val="ru-RU" w:eastAsia="ru-RU"/>
              </w:rPr>
              <w:t>1</w:t>
            </w:r>
          </w:p>
        </w:tc>
        <w:tc>
          <w:tcPr>
            <w:tcW w:w="4680" w:type="dxa"/>
            <w:vAlign w:val="center"/>
          </w:tcPr>
          <w:p w14:paraId="0FE564AF">
            <w:pPr>
              <w:adjustRightInd w:val="0"/>
              <w:snapToGrid w:val="0"/>
              <w:spacing w:line="240" w:lineRule="exact"/>
              <w:jc w:val="center"/>
              <w:rPr>
                <w:rFonts w:hint="eastAsia" w:ascii="宋体" w:hAnsi="宋体" w:eastAsia="宋体"/>
                <w:color w:val="auto"/>
                <w:szCs w:val="21"/>
                <w:lang w:val="ru-RU" w:eastAsia="zh-CN"/>
              </w:rPr>
            </w:pPr>
            <w:r>
              <w:rPr>
                <w:rFonts w:hint="eastAsia" w:ascii="仿宋" w:hAnsi="仿宋" w:eastAsia="仿宋" w:cs="仿宋"/>
                <w:color w:val="auto"/>
                <w:kern w:val="0"/>
                <w:sz w:val="18"/>
                <w:szCs w:val="18"/>
                <w:lang w:val="ru-RU" w:eastAsia="ru-RU"/>
              </w:rPr>
              <w:t>报价</w:t>
            </w:r>
            <w:r>
              <w:rPr>
                <w:rFonts w:hint="eastAsia" w:ascii="仿宋" w:hAnsi="仿宋" w:eastAsia="仿宋" w:cs="仿宋"/>
                <w:color w:val="auto"/>
                <w:kern w:val="0"/>
                <w:sz w:val="18"/>
                <w:szCs w:val="18"/>
                <w:lang w:val="ru-RU"/>
              </w:rPr>
              <w:t>（A1）</w:t>
            </w:r>
          </w:p>
        </w:tc>
        <w:tc>
          <w:tcPr>
            <w:tcW w:w="3420" w:type="dxa"/>
            <w:vAlign w:val="center"/>
          </w:tcPr>
          <w:p w14:paraId="1236B7ED">
            <w:pPr>
              <w:adjustRightInd w:val="0"/>
              <w:snapToGrid w:val="0"/>
              <w:spacing w:line="240" w:lineRule="exact"/>
              <w:jc w:val="center"/>
              <w:rPr>
                <w:rFonts w:hint="default" w:ascii="宋体" w:hAnsi="宋体" w:eastAsia="宋体"/>
                <w:color w:val="auto"/>
                <w:szCs w:val="21"/>
                <w:lang w:val="en-US" w:eastAsia="zh-CN"/>
              </w:rPr>
            </w:pPr>
            <w:r>
              <w:rPr>
                <w:rFonts w:hint="eastAsia" w:ascii="仿宋" w:hAnsi="仿宋" w:eastAsia="仿宋" w:cs="仿宋"/>
                <w:color w:val="auto"/>
                <w:kern w:val="0"/>
                <w:sz w:val="18"/>
                <w:szCs w:val="18"/>
                <w:lang w:val="en-US" w:eastAsia="zh-CN"/>
              </w:rPr>
              <w:t>15%</w:t>
            </w:r>
          </w:p>
        </w:tc>
      </w:tr>
      <w:tr w14:paraId="7538B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vAlign w:val="center"/>
          </w:tcPr>
          <w:p w14:paraId="049A307C">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color w:val="auto"/>
                <w:kern w:val="0"/>
                <w:sz w:val="18"/>
                <w:szCs w:val="18"/>
                <w:lang w:val="ru-RU" w:eastAsia="ru-RU"/>
              </w:rPr>
              <w:t>2</w:t>
            </w:r>
          </w:p>
        </w:tc>
        <w:tc>
          <w:tcPr>
            <w:tcW w:w="4680" w:type="dxa"/>
            <w:vAlign w:val="center"/>
          </w:tcPr>
          <w:p w14:paraId="6B010F4A">
            <w:pPr>
              <w:adjustRightInd w:val="0"/>
              <w:snapToGrid w:val="0"/>
              <w:spacing w:line="240" w:lineRule="exact"/>
              <w:jc w:val="center"/>
              <w:rPr>
                <w:rFonts w:hint="eastAsia" w:ascii="宋体" w:hAnsi="宋体" w:eastAsia="宋体"/>
                <w:color w:val="auto"/>
                <w:szCs w:val="21"/>
                <w:lang w:val="ru-RU" w:eastAsia="zh-CN"/>
              </w:rPr>
            </w:pPr>
            <w:r>
              <w:rPr>
                <w:rFonts w:hint="eastAsia" w:ascii="仿宋" w:hAnsi="仿宋" w:eastAsia="仿宋" w:cs="仿宋"/>
                <w:color w:val="auto"/>
                <w:kern w:val="0"/>
                <w:sz w:val="18"/>
                <w:szCs w:val="18"/>
                <w:lang w:val="ru-RU" w:eastAsia="ru-RU"/>
              </w:rPr>
              <w:t>技术</w:t>
            </w:r>
            <w:r>
              <w:rPr>
                <w:rFonts w:hint="eastAsia" w:ascii="仿宋" w:hAnsi="仿宋" w:eastAsia="仿宋" w:cs="仿宋"/>
                <w:color w:val="auto"/>
                <w:kern w:val="0"/>
                <w:sz w:val="18"/>
                <w:szCs w:val="18"/>
                <w:lang w:val="ru-RU"/>
              </w:rPr>
              <w:t>（A2）</w:t>
            </w:r>
          </w:p>
        </w:tc>
        <w:tc>
          <w:tcPr>
            <w:tcW w:w="3420" w:type="dxa"/>
            <w:vAlign w:val="center"/>
          </w:tcPr>
          <w:p w14:paraId="554D2620">
            <w:pPr>
              <w:adjustRightInd w:val="0"/>
              <w:snapToGrid w:val="0"/>
              <w:spacing w:line="240" w:lineRule="exact"/>
              <w:jc w:val="center"/>
              <w:rPr>
                <w:rFonts w:hint="default" w:ascii="宋体" w:hAnsi="宋体" w:eastAsia="宋体"/>
                <w:color w:val="auto"/>
                <w:szCs w:val="21"/>
                <w:lang w:val="en-US" w:eastAsia="zh-CN"/>
              </w:rPr>
            </w:pPr>
            <w:r>
              <w:rPr>
                <w:rFonts w:hint="eastAsia" w:ascii="仿宋" w:hAnsi="仿宋" w:eastAsia="仿宋" w:cs="仿宋"/>
                <w:color w:val="auto"/>
                <w:kern w:val="0"/>
                <w:sz w:val="18"/>
                <w:szCs w:val="18"/>
                <w:lang w:val="en-US" w:eastAsia="zh-CN"/>
              </w:rPr>
              <w:t>45%</w:t>
            </w:r>
          </w:p>
        </w:tc>
      </w:tr>
      <w:tr w14:paraId="3ECCDF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0" w:type="dxa"/>
            <w:vAlign w:val="center"/>
          </w:tcPr>
          <w:p w14:paraId="46FF3B43">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color w:val="auto"/>
                <w:kern w:val="0"/>
                <w:sz w:val="18"/>
                <w:szCs w:val="18"/>
                <w:lang w:val="ru-RU" w:eastAsia="ru-RU"/>
              </w:rPr>
              <w:t>3</w:t>
            </w:r>
          </w:p>
        </w:tc>
        <w:tc>
          <w:tcPr>
            <w:tcW w:w="4680" w:type="dxa"/>
            <w:vAlign w:val="center"/>
          </w:tcPr>
          <w:p w14:paraId="57BE24C2">
            <w:pPr>
              <w:adjustRightInd w:val="0"/>
              <w:snapToGrid w:val="0"/>
              <w:spacing w:line="240" w:lineRule="exact"/>
              <w:jc w:val="center"/>
              <w:rPr>
                <w:rFonts w:hint="eastAsia" w:ascii="宋体" w:hAnsi="宋体" w:eastAsia="宋体"/>
                <w:color w:val="auto"/>
                <w:szCs w:val="21"/>
                <w:lang w:val="ru-RU" w:eastAsia="zh-CN"/>
              </w:rPr>
            </w:pPr>
            <w:r>
              <w:rPr>
                <w:rFonts w:hint="eastAsia" w:ascii="仿宋" w:hAnsi="仿宋" w:eastAsia="仿宋" w:cs="仿宋"/>
                <w:color w:val="auto"/>
                <w:kern w:val="0"/>
                <w:sz w:val="18"/>
                <w:szCs w:val="18"/>
                <w:lang w:val="ru-RU"/>
              </w:rPr>
              <w:t>商务（A3）</w:t>
            </w:r>
          </w:p>
        </w:tc>
        <w:tc>
          <w:tcPr>
            <w:tcW w:w="3420" w:type="dxa"/>
            <w:vAlign w:val="center"/>
          </w:tcPr>
          <w:p w14:paraId="2E235C24">
            <w:pPr>
              <w:adjustRightInd w:val="0"/>
              <w:snapToGrid w:val="0"/>
              <w:spacing w:line="240" w:lineRule="exact"/>
              <w:jc w:val="center"/>
              <w:rPr>
                <w:rFonts w:hint="default" w:ascii="宋体" w:hAnsi="宋体" w:eastAsia="宋体"/>
                <w:color w:val="auto"/>
                <w:szCs w:val="21"/>
                <w:lang w:val="en-US" w:eastAsia="zh-CN"/>
              </w:rPr>
            </w:pPr>
            <w:r>
              <w:rPr>
                <w:rFonts w:hint="eastAsia" w:ascii="仿宋" w:hAnsi="仿宋" w:eastAsia="仿宋" w:cs="仿宋"/>
                <w:color w:val="auto"/>
                <w:kern w:val="0"/>
                <w:sz w:val="18"/>
                <w:szCs w:val="18"/>
                <w:lang w:val="en-US" w:eastAsia="zh-CN"/>
              </w:rPr>
              <w:t>40%</w:t>
            </w:r>
          </w:p>
        </w:tc>
      </w:tr>
      <w:tr w14:paraId="4F905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400" w:type="dxa"/>
            <w:gridSpan w:val="2"/>
            <w:vAlign w:val="center"/>
          </w:tcPr>
          <w:p w14:paraId="3D6578B7">
            <w:pPr>
              <w:adjustRightInd w:val="0"/>
              <w:snapToGrid w:val="0"/>
              <w:spacing w:line="240" w:lineRule="exact"/>
              <w:jc w:val="center"/>
              <w:rPr>
                <w:rFonts w:ascii="宋体" w:hAnsi="宋体"/>
                <w:color w:val="auto"/>
                <w:szCs w:val="21"/>
                <w:lang w:val="ru-RU" w:eastAsia="ru-RU"/>
              </w:rPr>
            </w:pPr>
            <w:r>
              <w:rPr>
                <w:rFonts w:hint="eastAsia" w:ascii="仿宋" w:hAnsi="仿宋" w:eastAsia="仿宋" w:cs="仿宋"/>
                <w:color w:val="auto"/>
                <w:kern w:val="0"/>
                <w:sz w:val="18"/>
                <w:szCs w:val="18"/>
              </w:rPr>
              <w:t xml:space="preserve">       </w:t>
            </w:r>
            <w:r>
              <w:rPr>
                <w:rFonts w:hint="eastAsia" w:ascii="仿宋" w:hAnsi="仿宋" w:eastAsia="仿宋" w:cs="仿宋"/>
                <w:color w:val="auto"/>
                <w:kern w:val="0"/>
                <w:sz w:val="18"/>
                <w:szCs w:val="18"/>
                <w:lang w:val="ru-RU"/>
              </w:rPr>
              <w:t>合计</w:t>
            </w:r>
          </w:p>
        </w:tc>
        <w:tc>
          <w:tcPr>
            <w:tcW w:w="3420" w:type="dxa"/>
            <w:vAlign w:val="center"/>
          </w:tcPr>
          <w:p w14:paraId="2E25CF4E">
            <w:pPr>
              <w:adjustRightInd w:val="0"/>
              <w:snapToGrid w:val="0"/>
              <w:spacing w:line="240" w:lineRule="exact"/>
              <w:jc w:val="center"/>
              <w:rPr>
                <w:rFonts w:hint="eastAsia" w:ascii="宋体" w:hAnsi="宋体" w:eastAsia="宋体"/>
                <w:color w:val="auto"/>
                <w:szCs w:val="21"/>
                <w:lang w:eastAsia="zh-CN"/>
              </w:rPr>
            </w:pPr>
            <w:r>
              <w:rPr>
                <w:rFonts w:hint="eastAsia" w:ascii="仿宋" w:hAnsi="仿宋" w:eastAsia="仿宋" w:cs="仿宋"/>
                <w:color w:val="auto"/>
                <w:kern w:val="0"/>
                <w:sz w:val="18"/>
                <w:szCs w:val="18"/>
              </w:rPr>
              <w:t>1.00</w:t>
            </w:r>
          </w:p>
        </w:tc>
      </w:tr>
    </w:tbl>
    <w:p w14:paraId="19F699E0">
      <w:pPr>
        <w:adjustRightInd w:val="0"/>
        <w:snapToGrid w:val="0"/>
        <w:spacing w:before="156" w:beforeLines="50" w:line="360" w:lineRule="auto"/>
        <w:jc w:val="center"/>
        <w:rPr>
          <w:color w:val="auto"/>
        </w:rPr>
      </w:pPr>
      <w:r>
        <w:rPr>
          <w:rFonts w:hint="eastAsia"/>
          <w:b/>
          <w:bCs/>
          <w:color w:val="auto"/>
        </w:rPr>
        <w:t>附表1.1投标报价评审标准表</w:t>
      </w:r>
    </w:p>
    <w:tbl>
      <w:tblPr>
        <w:tblStyle w:val="25"/>
        <w:tblW w:w="89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6253"/>
      </w:tblGrid>
      <w:tr w14:paraId="5BB9F1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right w:val="single" w:color="auto" w:sz="4" w:space="0"/>
            </w:tcBorders>
            <w:noWrap w:val="0"/>
            <w:vAlign w:val="center"/>
          </w:tcPr>
          <w:p w14:paraId="35078C4E">
            <w:pPr>
              <w:adjustRightInd w:val="0"/>
              <w:snapToGrid w:val="0"/>
              <w:jc w:val="center"/>
              <w:rPr>
                <w:rFonts w:ascii="宋体" w:hAnsi="宋体"/>
                <w:b/>
                <w:color w:val="auto"/>
                <w:sz w:val="18"/>
                <w:szCs w:val="18"/>
              </w:rPr>
            </w:pPr>
            <w:r>
              <w:rPr>
                <w:rFonts w:hint="eastAsia" w:ascii="宋体" w:hAnsi="宋体"/>
                <w:b/>
                <w:color w:val="auto"/>
                <w:sz w:val="18"/>
                <w:szCs w:val="18"/>
              </w:rPr>
              <w:t>序号</w:t>
            </w:r>
          </w:p>
        </w:tc>
        <w:tc>
          <w:tcPr>
            <w:tcW w:w="2160" w:type="dxa"/>
            <w:tcBorders>
              <w:left w:val="single" w:color="auto" w:sz="4" w:space="0"/>
              <w:right w:val="single" w:color="auto" w:sz="4" w:space="0"/>
            </w:tcBorders>
            <w:noWrap w:val="0"/>
            <w:vAlign w:val="center"/>
          </w:tcPr>
          <w:p w14:paraId="3480212C">
            <w:pPr>
              <w:adjustRightInd w:val="0"/>
              <w:snapToGrid w:val="0"/>
              <w:jc w:val="center"/>
              <w:rPr>
                <w:rFonts w:ascii="宋体" w:hAnsi="宋体"/>
                <w:b/>
                <w:color w:val="auto"/>
                <w:sz w:val="18"/>
                <w:szCs w:val="18"/>
              </w:rPr>
            </w:pPr>
            <w:r>
              <w:rPr>
                <w:rFonts w:hint="eastAsia" w:ascii="宋体" w:hAnsi="宋体"/>
                <w:b/>
                <w:color w:val="auto"/>
                <w:sz w:val="18"/>
                <w:szCs w:val="18"/>
              </w:rPr>
              <w:t>评标因素（分值）</w:t>
            </w:r>
          </w:p>
        </w:tc>
        <w:tc>
          <w:tcPr>
            <w:tcW w:w="6253" w:type="dxa"/>
            <w:tcBorders>
              <w:left w:val="single" w:color="auto" w:sz="4" w:space="0"/>
            </w:tcBorders>
            <w:noWrap w:val="0"/>
            <w:vAlign w:val="center"/>
          </w:tcPr>
          <w:p w14:paraId="66B9942C">
            <w:pPr>
              <w:adjustRightInd w:val="0"/>
              <w:snapToGrid w:val="0"/>
              <w:jc w:val="center"/>
              <w:rPr>
                <w:rFonts w:ascii="宋体" w:hAnsi="宋体"/>
                <w:b/>
                <w:color w:val="auto"/>
                <w:sz w:val="18"/>
                <w:szCs w:val="18"/>
              </w:rPr>
            </w:pPr>
            <w:r>
              <w:rPr>
                <w:rFonts w:hint="eastAsia" w:ascii="宋体" w:hAnsi="宋体"/>
                <w:b/>
                <w:color w:val="auto"/>
                <w:sz w:val="18"/>
                <w:szCs w:val="18"/>
              </w:rPr>
              <w:t>评标标准</w:t>
            </w:r>
          </w:p>
        </w:tc>
      </w:tr>
      <w:tr w14:paraId="767E76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3" w:type="dxa"/>
            <w:tcBorders>
              <w:right w:val="single" w:color="auto" w:sz="4" w:space="0"/>
            </w:tcBorders>
            <w:noWrap w:val="0"/>
            <w:vAlign w:val="center"/>
          </w:tcPr>
          <w:p w14:paraId="647970EA">
            <w:pPr>
              <w:adjustRightInd w:val="0"/>
              <w:snapToGrid w:val="0"/>
              <w:spacing w:before="156" w:beforeLines="50"/>
              <w:jc w:val="center"/>
              <w:rPr>
                <w:rFonts w:ascii="宋体" w:hAnsi="宋体"/>
                <w:color w:val="auto"/>
                <w:sz w:val="18"/>
                <w:szCs w:val="18"/>
              </w:rPr>
            </w:pPr>
            <w:r>
              <w:rPr>
                <w:rFonts w:hint="eastAsia" w:ascii="宋体" w:hAnsi="宋体"/>
                <w:color w:val="auto"/>
                <w:sz w:val="18"/>
                <w:szCs w:val="18"/>
              </w:rPr>
              <w:t>1</w:t>
            </w:r>
          </w:p>
        </w:tc>
        <w:tc>
          <w:tcPr>
            <w:tcW w:w="2160" w:type="dxa"/>
            <w:tcBorders>
              <w:left w:val="single" w:color="auto" w:sz="4" w:space="0"/>
              <w:right w:val="single" w:color="auto" w:sz="4" w:space="0"/>
            </w:tcBorders>
            <w:noWrap w:val="0"/>
            <w:vAlign w:val="center"/>
          </w:tcPr>
          <w:p w14:paraId="0E563700">
            <w:pPr>
              <w:adjustRightInd w:val="0"/>
              <w:snapToGrid w:val="0"/>
              <w:jc w:val="center"/>
              <w:rPr>
                <w:rFonts w:ascii="宋体" w:hAnsi="宋体"/>
                <w:color w:val="auto"/>
                <w:sz w:val="18"/>
                <w:szCs w:val="18"/>
              </w:rPr>
            </w:pPr>
            <w:r>
              <w:rPr>
                <w:rFonts w:hint="eastAsia" w:ascii="宋体" w:hAnsi="宋体"/>
                <w:color w:val="auto"/>
                <w:sz w:val="18"/>
                <w:szCs w:val="18"/>
              </w:rPr>
              <w:t>价格评价项</w:t>
            </w:r>
          </w:p>
          <w:p w14:paraId="19A1E84D">
            <w:pPr>
              <w:adjustRightInd w:val="0"/>
              <w:snapToGrid w:val="0"/>
              <w:jc w:val="center"/>
              <w:rPr>
                <w:rFonts w:hint="default" w:ascii="宋体" w:hAnsi="宋体" w:eastAsia="宋体"/>
                <w:color w:val="auto"/>
                <w:sz w:val="18"/>
                <w:szCs w:val="18"/>
                <w:lang w:val="en-US" w:eastAsia="zh-CN"/>
              </w:rPr>
            </w:pPr>
            <w:r>
              <w:rPr>
                <w:rFonts w:hint="eastAsia" w:ascii="宋体" w:hAnsi="宋体"/>
                <w:color w:val="auto"/>
                <w:sz w:val="18"/>
                <w:szCs w:val="18"/>
              </w:rPr>
              <w:t>（F=100分）</w:t>
            </w:r>
            <w:r>
              <w:rPr>
                <w:rFonts w:hint="eastAsia" w:ascii="宋体" w:hAnsi="宋体"/>
                <w:color w:val="auto"/>
                <w:sz w:val="18"/>
                <w:szCs w:val="18"/>
                <w:lang w:eastAsia="zh-CN"/>
              </w:rPr>
              <w:t>权重</w:t>
            </w:r>
            <w:r>
              <w:rPr>
                <w:rFonts w:hint="eastAsia" w:ascii="宋体" w:hAnsi="宋体"/>
                <w:color w:val="auto"/>
                <w:sz w:val="18"/>
                <w:szCs w:val="18"/>
                <w:lang w:val="en-US" w:eastAsia="zh-CN"/>
              </w:rPr>
              <w:t>15%</w:t>
            </w:r>
          </w:p>
        </w:tc>
        <w:tc>
          <w:tcPr>
            <w:tcW w:w="6253" w:type="dxa"/>
            <w:tcBorders>
              <w:left w:val="single" w:color="auto" w:sz="4" w:space="0"/>
            </w:tcBorders>
            <w:noWrap w:val="0"/>
            <w:vAlign w:val="center"/>
          </w:tcPr>
          <w:p w14:paraId="76E924CB">
            <w:pPr>
              <w:spacing w:line="360" w:lineRule="exact"/>
              <w:rPr>
                <w:rStyle w:val="33"/>
                <w:rFonts w:ascii="宋体" w:hAnsi="宋体"/>
                <w:color w:val="auto"/>
                <w:szCs w:val="21"/>
              </w:rPr>
            </w:pPr>
            <w:r>
              <w:rPr>
                <w:rStyle w:val="33"/>
                <w:rFonts w:ascii="宋体" w:hAnsi="宋体"/>
                <w:color w:val="auto"/>
                <w:szCs w:val="21"/>
              </w:rPr>
              <w:t>满足</w:t>
            </w:r>
            <w:r>
              <w:rPr>
                <w:rStyle w:val="33"/>
                <w:rFonts w:hint="eastAsia" w:ascii="宋体" w:hAnsi="宋体"/>
                <w:color w:val="auto"/>
                <w:szCs w:val="21"/>
              </w:rPr>
              <w:t>招标</w:t>
            </w:r>
            <w:r>
              <w:rPr>
                <w:rStyle w:val="33"/>
                <w:rFonts w:ascii="宋体" w:hAnsi="宋体"/>
                <w:color w:val="auto"/>
                <w:szCs w:val="21"/>
              </w:rPr>
              <w:t>文件要求且经评标委员会认定报价最低的供应商的价格为基准价，其价格分为满分。其他供应商的价格分统一按照下列公式计算：</w:t>
            </w:r>
          </w:p>
          <w:p w14:paraId="4D553910">
            <w:pPr>
              <w:spacing w:line="360" w:lineRule="exact"/>
              <w:rPr>
                <w:rStyle w:val="33"/>
                <w:rFonts w:ascii="宋体" w:hAnsi="宋体"/>
                <w:b w:val="0"/>
                <w:bCs w:val="0"/>
                <w:color w:val="auto"/>
                <w:szCs w:val="21"/>
              </w:rPr>
            </w:pPr>
            <w:r>
              <w:rPr>
                <w:rStyle w:val="33"/>
                <w:rFonts w:ascii="宋体" w:hAnsi="宋体"/>
                <w:color w:val="auto"/>
                <w:szCs w:val="21"/>
              </w:rPr>
              <w:t>报价得分=（基准价/报价）×价格分值×</w:t>
            </w:r>
            <w:r>
              <w:rPr>
                <w:rFonts w:hint="eastAsia" w:ascii="宋体" w:hAnsi="宋体" w:cs="宋体"/>
                <w:b w:val="0"/>
                <w:bCs w:val="0"/>
                <w:color w:val="auto"/>
                <w:kern w:val="0"/>
                <w:sz w:val="20"/>
                <w:szCs w:val="21"/>
                <w:lang w:val="ru-RU" w:eastAsia="ru-RU"/>
              </w:rPr>
              <w:t>权值</w:t>
            </w:r>
          </w:p>
          <w:p w14:paraId="328C63FF">
            <w:pPr>
              <w:spacing w:line="360" w:lineRule="exact"/>
              <w:rPr>
                <w:rStyle w:val="33"/>
                <w:rFonts w:ascii="宋体" w:hAnsi="宋体"/>
                <w:color w:val="auto"/>
                <w:szCs w:val="21"/>
              </w:rPr>
            </w:pPr>
            <w:r>
              <w:rPr>
                <w:rStyle w:val="33"/>
                <w:rFonts w:ascii="宋体" w:hAnsi="宋体"/>
                <w:color w:val="auto"/>
                <w:szCs w:val="21"/>
              </w:rPr>
              <w:t>项目评审过程中，不得去掉最后报价中的最高报价和最低报价。</w:t>
            </w:r>
          </w:p>
          <w:p w14:paraId="34562757">
            <w:pPr>
              <w:rPr>
                <w:color w:val="auto"/>
              </w:rPr>
            </w:pPr>
            <w:r>
              <w:rPr>
                <w:rStyle w:val="33"/>
                <w:rFonts w:ascii="宋体" w:hAnsi="宋体"/>
                <w:b/>
                <w:color w:val="auto"/>
                <w:szCs w:val="21"/>
              </w:rPr>
              <w:t>注：评标委员会认为供应商的报价明显低于其他通过符合性审查供应商的报价，有可能影响产品质量或者不能诚信履约的，应当要求其在合理的时间内</w:t>
            </w:r>
            <w:r>
              <w:rPr>
                <w:rStyle w:val="33"/>
                <w:rFonts w:hint="eastAsia" w:ascii="宋体" w:hAnsi="宋体"/>
                <w:b/>
                <w:color w:val="auto"/>
                <w:szCs w:val="21"/>
                <w:lang w:eastAsia="zh-CN"/>
              </w:rPr>
              <w:t>进行</w:t>
            </w:r>
            <w:r>
              <w:rPr>
                <w:rStyle w:val="33"/>
                <w:rFonts w:ascii="宋体" w:hAnsi="宋体"/>
                <w:b/>
                <w:color w:val="auto"/>
                <w:szCs w:val="21"/>
              </w:rPr>
              <w:t>说明，必要时提交相关证明材料；供应商不能证明其报价合理性的，评标委员会应当将其作为无效投标处理。</w:t>
            </w:r>
          </w:p>
        </w:tc>
      </w:tr>
    </w:tbl>
    <w:p w14:paraId="07791B9C">
      <w:pPr>
        <w:pStyle w:val="32"/>
        <w:ind w:left="0" w:leftChars="0" w:firstLine="0" w:firstLineChars="0"/>
        <w:rPr>
          <w:rFonts w:hint="eastAsia" w:ascii="宋体" w:hAnsi="宋体"/>
          <w:color w:val="auto"/>
          <w:szCs w:val="21"/>
          <w:lang w:val="ru-RU" w:eastAsia="ru-RU"/>
        </w:rPr>
      </w:pPr>
    </w:p>
    <w:p w14:paraId="0DA3F2A6">
      <w:pPr>
        <w:spacing w:line="440" w:lineRule="exact"/>
        <w:rPr>
          <w:rFonts w:ascii="宋体" w:hAnsi="宋体"/>
          <w:b/>
          <w:bCs/>
          <w:color w:val="auto"/>
          <w:szCs w:val="21"/>
          <w:lang w:val="ru-RU" w:eastAsia="ru-RU"/>
        </w:rPr>
      </w:pPr>
      <w:r>
        <w:rPr>
          <w:rFonts w:hint="eastAsia" w:ascii="宋体" w:hAnsi="宋体"/>
          <w:b/>
          <w:bCs/>
          <w:color w:val="auto"/>
          <w:szCs w:val="21"/>
          <w:lang w:val="ru-RU" w:eastAsia="ru-RU"/>
        </w:rPr>
        <w:t>附表1.</w:t>
      </w:r>
      <w:r>
        <w:rPr>
          <w:rFonts w:hint="eastAsia" w:ascii="宋体" w:hAnsi="宋体"/>
          <w:b/>
          <w:bCs/>
          <w:color w:val="auto"/>
          <w:szCs w:val="21"/>
        </w:rPr>
        <w:t>2</w:t>
      </w:r>
      <w:r>
        <w:rPr>
          <w:rFonts w:hint="eastAsia" w:ascii="宋体" w:hAnsi="宋体"/>
          <w:b/>
          <w:bCs/>
          <w:color w:val="auto"/>
          <w:szCs w:val="21"/>
          <w:lang w:val="ru-RU" w:eastAsia="ru-RU"/>
        </w:rPr>
        <w:t>商务部分评审评分表（分值</w:t>
      </w:r>
      <w:r>
        <w:rPr>
          <w:rFonts w:hint="eastAsia" w:ascii="宋体" w:hAnsi="宋体"/>
          <w:b/>
          <w:bCs/>
          <w:color w:val="auto"/>
          <w:szCs w:val="21"/>
        </w:rPr>
        <w:t>10</w:t>
      </w:r>
      <w:r>
        <w:rPr>
          <w:rFonts w:hint="eastAsia" w:ascii="宋体" w:hAnsi="宋体"/>
          <w:b/>
          <w:bCs/>
          <w:color w:val="auto"/>
          <w:szCs w:val="21"/>
          <w:lang w:val="ru-RU" w:eastAsia="ru-RU"/>
        </w:rPr>
        <w:t>0分）</w:t>
      </w:r>
    </w:p>
    <w:tbl>
      <w:tblPr>
        <w:tblStyle w:val="25"/>
        <w:tblW w:w="9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737"/>
        <w:gridCol w:w="1075"/>
        <w:gridCol w:w="7400"/>
      </w:tblGrid>
      <w:tr w14:paraId="5B2B2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37" w:type="dxa"/>
            <w:vAlign w:val="center"/>
          </w:tcPr>
          <w:p w14:paraId="7A0CCD25">
            <w:pPr>
              <w:adjustRightInd w:val="0"/>
              <w:snapToGrid w:val="0"/>
              <w:spacing w:before="156" w:beforeLines="50" w:line="360" w:lineRule="auto"/>
              <w:rPr>
                <w:rFonts w:hint="eastAsia" w:ascii="宋体" w:hAnsi="宋体" w:eastAsia="宋体" w:cs="宋体"/>
                <w:color w:val="auto"/>
                <w:szCs w:val="21"/>
                <w:lang w:eastAsia="zh-CN"/>
              </w:rPr>
            </w:pPr>
            <w:r>
              <w:rPr>
                <w:rFonts w:hint="eastAsia" w:ascii="宋体" w:hAnsi="宋体" w:cs="宋体"/>
                <w:color w:val="auto"/>
                <w:szCs w:val="21"/>
                <w:lang w:eastAsia="zh-CN"/>
              </w:rPr>
              <w:t>序号</w:t>
            </w:r>
          </w:p>
        </w:tc>
        <w:tc>
          <w:tcPr>
            <w:tcW w:w="1812" w:type="dxa"/>
            <w:gridSpan w:val="2"/>
            <w:vAlign w:val="center"/>
          </w:tcPr>
          <w:p w14:paraId="7CB8D8D9">
            <w:pPr>
              <w:adjustRightInd w:val="0"/>
              <w:snapToGrid w:val="0"/>
              <w:spacing w:before="156" w:beforeLines="50" w:line="360" w:lineRule="auto"/>
              <w:rPr>
                <w:rFonts w:ascii="宋体" w:hAnsi="宋体" w:cs="宋体"/>
                <w:color w:val="auto"/>
                <w:szCs w:val="21"/>
              </w:rPr>
            </w:pPr>
            <w:r>
              <w:rPr>
                <w:rFonts w:hint="eastAsia" w:ascii="宋体" w:hAnsi="宋体" w:cs="宋体"/>
                <w:color w:val="auto"/>
                <w:szCs w:val="21"/>
              </w:rPr>
              <w:t>评审因素</w:t>
            </w:r>
          </w:p>
        </w:tc>
        <w:tc>
          <w:tcPr>
            <w:tcW w:w="7400" w:type="dxa"/>
            <w:vAlign w:val="center"/>
          </w:tcPr>
          <w:p w14:paraId="7074F17B">
            <w:pPr>
              <w:adjustRightInd w:val="0"/>
              <w:snapToGrid w:val="0"/>
              <w:spacing w:before="156" w:beforeLines="50" w:line="360" w:lineRule="auto"/>
              <w:rPr>
                <w:rFonts w:ascii="宋体" w:hAnsi="宋体" w:cs="宋体"/>
                <w:color w:val="auto"/>
                <w:szCs w:val="21"/>
              </w:rPr>
            </w:pPr>
            <w:r>
              <w:rPr>
                <w:rFonts w:hint="eastAsia" w:ascii="宋体" w:hAnsi="宋体" w:cs="宋体"/>
                <w:color w:val="auto"/>
                <w:szCs w:val="21"/>
              </w:rPr>
              <w:t>评分标准</w:t>
            </w:r>
          </w:p>
        </w:tc>
      </w:tr>
      <w:tr w14:paraId="66721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737" w:type="dxa"/>
            <w:vMerge w:val="restart"/>
            <w:vAlign w:val="center"/>
          </w:tcPr>
          <w:p w14:paraId="543D2802">
            <w:pPr>
              <w:adjustRightInd w:val="0"/>
              <w:snapToGrid w:val="0"/>
              <w:spacing w:before="156" w:beforeLines="50" w:line="36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37" w:type="dxa"/>
            <w:vMerge w:val="restart"/>
            <w:vAlign w:val="center"/>
          </w:tcPr>
          <w:p w14:paraId="0D9ACE87">
            <w:pPr>
              <w:adjustRightInd w:val="0"/>
              <w:snapToGrid w:val="0"/>
              <w:jc w:val="center"/>
              <w:rPr>
                <w:rFonts w:ascii="宋体" w:hAnsi="宋体"/>
                <w:color w:val="auto"/>
                <w:sz w:val="18"/>
                <w:szCs w:val="18"/>
              </w:rPr>
            </w:pPr>
            <w:r>
              <w:rPr>
                <w:rFonts w:hint="eastAsia" w:ascii="宋体" w:hAnsi="宋体"/>
                <w:color w:val="auto"/>
                <w:sz w:val="18"/>
                <w:szCs w:val="18"/>
                <w:lang w:eastAsia="zh-CN"/>
              </w:rPr>
              <w:t>商务</w:t>
            </w:r>
            <w:r>
              <w:rPr>
                <w:rFonts w:hint="eastAsia" w:ascii="宋体" w:hAnsi="宋体"/>
                <w:color w:val="auto"/>
                <w:sz w:val="18"/>
                <w:szCs w:val="18"/>
              </w:rPr>
              <w:t>评价项</w:t>
            </w:r>
          </w:p>
          <w:p w14:paraId="07ECF8F0">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color w:val="auto"/>
                <w:sz w:val="18"/>
                <w:szCs w:val="18"/>
              </w:rPr>
              <w:t>（F=100分）</w:t>
            </w:r>
            <w:r>
              <w:rPr>
                <w:rFonts w:hint="eastAsia" w:ascii="宋体" w:hAnsi="宋体"/>
                <w:color w:val="auto"/>
                <w:sz w:val="18"/>
                <w:szCs w:val="18"/>
                <w:lang w:eastAsia="zh-CN"/>
              </w:rPr>
              <w:t>权重</w:t>
            </w:r>
            <w:r>
              <w:rPr>
                <w:rFonts w:hint="eastAsia" w:ascii="宋体" w:hAnsi="宋体"/>
                <w:color w:val="auto"/>
                <w:sz w:val="18"/>
                <w:szCs w:val="18"/>
                <w:lang w:val="en-US" w:eastAsia="zh-CN"/>
              </w:rPr>
              <w:t>40%</w:t>
            </w:r>
          </w:p>
        </w:tc>
        <w:tc>
          <w:tcPr>
            <w:tcW w:w="1075" w:type="dxa"/>
            <w:vAlign w:val="center"/>
          </w:tcPr>
          <w:p w14:paraId="4E00F7F8">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体系认证</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p>
        </w:tc>
        <w:tc>
          <w:tcPr>
            <w:tcW w:w="7400" w:type="dxa"/>
            <w:vAlign w:val="center"/>
          </w:tcPr>
          <w:p w14:paraId="307C206D">
            <w:pPr>
              <w:numPr>
                <w:ilvl w:val="0"/>
                <w:numId w:val="0"/>
              </w:numPr>
              <w:adjustRightInd w:val="0"/>
              <w:snapToGrid w:val="0"/>
              <w:spacing w:before="156" w:beforeLines="50"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投标人通过质量管理体系认证、环境管理体系认证、职业健康安全管理体系认证的，每提供一项认证证书计</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分。（注：提供有效的证件复印件并提供中国认监委网站证书查询截图加盖投标人公章。否则不计分。）</w:t>
            </w:r>
          </w:p>
        </w:tc>
      </w:tr>
      <w:tr w14:paraId="1507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737" w:type="dxa"/>
            <w:vMerge w:val="continue"/>
            <w:vAlign w:val="center"/>
          </w:tcPr>
          <w:p w14:paraId="5AECEFBD">
            <w:pPr>
              <w:adjustRightInd w:val="0"/>
              <w:snapToGrid w:val="0"/>
              <w:spacing w:before="156" w:beforeLines="50" w:line="360" w:lineRule="auto"/>
              <w:rPr>
                <w:rFonts w:hint="eastAsia" w:ascii="宋体" w:hAnsi="宋体" w:eastAsia="宋体" w:cs="宋体"/>
                <w:color w:val="auto"/>
                <w:sz w:val="21"/>
                <w:szCs w:val="21"/>
              </w:rPr>
            </w:pPr>
          </w:p>
        </w:tc>
        <w:tc>
          <w:tcPr>
            <w:tcW w:w="737" w:type="dxa"/>
            <w:vMerge w:val="continue"/>
            <w:vAlign w:val="center"/>
          </w:tcPr>
          <w:p w14:paraId="4E1290C4">
            <w:pPr>
              <w:adjustRightInd w:val="0"/>
              <w:snapToGrid w:val="0"/>
              <w:spacing w:before="156" w:beforeLines="50" w:line="360" w:lineRule="auto"/>
              <w:rPr>
                <w:rFonts w:hint="eastAsia" w:ascii="宋体" w:hAnsi="宋体" w:eastAsia="宋体" w:cs="宋体"/>
                <w:color w:val="auto"/>
                <w:sz w:val="21"/>
                <w:szCs w:val="21"/>
              </w:rPr>
            </w:pPr>
          </w:p>
        </w:tc>
        <w:tc>
          <w:tcPr>
            <w:tcW w:w="1075" w:type="dxa"/>
            <w:vAlign w:val="center"/>
          </w:tcPr>
          <w:p w14:paraId="62C4FB06">
            <w:pPr>
              <w:numPr>
                <w:ilvl w:val="0"/>
                <w:numId w:val="0"/>
              </w:numPr>
              <w:adjustRightInd w:val="0"/>
              <w:snapToGrid w:val="0"/>
              <w:spacing w:before="156" w:beforeLines="50"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荣誉（</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7400" w:type="dxa"/>
            <w:vAlign w:val="center"/>
          </w:tcPr>
          <w:p w14:paraId="22BDE8F5">
            <w:pPr>
              <w:numPr>
                <w:ilvl w:val="0"/>
                <w:numId w:val="0"/>
              </w:numPr>
              <w:adjustRightInd w:val="0"/>
              <w:snapToGrid w:val="0"/>
              <w:spacing w:before="156" w:beforeLines="50"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投标人近</w:t>
            </w:r>
            <w:r>
              <w:rPr>
                <w:rFonts w:hint="eastAsia" w:ascii="宋体" w:hAnsi="宋体" w:eastAsia="宋体" w:cs="宋体"/>
                <w:color w:val="auto"/>
                <w:sz w:val="21"/>
                <w:szCs w:val="21"/>
                <w:lang w:val="en-US" w:eastAsia="zh-CN"/>
              </w:rPr>
              <w:t>3年</w:t>
            </w:r>
            <w:r>
              <w:rPr>
                <w:rFonts w:hint="eastAsia" w:ascii="宋体" w:hAnsi="宋体" w:eastAsia="宋体" w:cs="宋体"/>
                <w:color w:val="auto"/>
                <w:sz w:val="21"/>
                <w:szCs w:val="21"/>
              </w:rPr>
              <w:t>（投标截止时间前1095日历天）承接的房屋建筑类项目获得过“建设工程项目施工工地安全生产标准化学习交流项目”称号</w:t>
            </w:r>
            <w:r>
              <w:rPr>
                <w:rFonts w:hint="eastAsia" w:ascii="宋体" w:hAnsi="宋体" w:cs="宋体"/>
                <w:color w:val="auto"/>
                <w:sz w:val="21"/>
                <w:szCs w:val="21"/>
                <w:lang w:eastAsia="zh-CN"/>
              </w:rPr>
              <w:t>或</w:t>
            </w:r>
            <w:r>
              <w:rPr>
                <w:rFonts w:hint="eastAsia" w:ascii="宋体" w:hAnsi="宋体" w:eastAsia="宋体" w:cs="宋体"/>
                <w:color w:val="auto"/>
                <w:sz w:val="21"/>
                <w:szCs w:val="21"/>
                <w:highlight w:val="none"/>
              </w:rPr>
              <w:t>获得过</w:t>
            </w:r>
            <w:r>
              <w:rPr>
                <w:rFonts w:hint="eastAsia" w:ascii="宋体" w:hAnsi="宋体" w:eastAsia="宋体" w:cs="宋体"/>
                <w:color w:val="auto"/>
                <w:sz w:val="21"/>
                <w:szCs w:val="21"/>
                <w:highlight w:val="none"/>
                <w:lang w:val="en-US" w:eastAsia="zh-CN"/>
              </w:rPr>
              <w:t>省级建设行政主管部门评定的省级建筑施工标准化年度项目（质量或安全）考评优良工地</w:t>
            </w:r>
            <w:r>
              <w:rPr>
                <w:rFonts w:hint="eastAsia" w:ascii="宋体" w:hAnsi="宋体" w:eastAsia="宋体" w:cs="宋体"/>
                <w:color w:val="auto"/>
                <w:sz w:val="21"/>
                <w:szCs w:val="21"/>
              </w:rPr>
              <w:t>的，每个计</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rPr>
              <w:t>，最高计</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注:提供获奖证明文件或获奖公告</w:t>
            </w:r>
            <w:r>
              <w:rPr>
                <w:rFonts w:hint="eastAsia" w:ascii="宋体" w:hAnsi="宋体" w:cs="宋体"/>
                <w:color w:val="auto"/>
                <w:sz w:val="21"/>
                <w:szCs w:val="21"/>
                <w:lang w:eastAsia="zh-CN"/>
              </w:rPr>
              <w:t>截图</w:t>
            </w:r>
            <w:r>
              <w:rPr>
                <w:rFonts w:hint="eastAsia" w:ascii="宋体" w:hAnsi="宋体" w:eastAsia="宋体" w:cs="宋体"/>
                <w:color w:val="auto"/>
                <w:sz w:val="21"/>
                <w:szCs w:val="21"/>
              </w:rPr>
              <w:t>，否则不计分。</w:t>
            </w:r>
            <w:r>
              <w:rPr>
                <w:rFonts w:hint="eastAsia" w:ascii="宋体" w:hAnsi="宋体" w:eastAsia="宋体" w:cs="宋体"/>
                <w:color w:val="auto"/>
                <w:sz w:val="21"/>
                <w:szCs w:val="21"/>
                <w:lang w:eastAsia="zh-CN"/>
              </w:rPr>
              <w:t>）</w:t>
            </w:r>
          </w:p>
        </w:tc>
      </w:tr>
      <w:tr w14:paraId="4B0D4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3" w:hRule="atLeast"/>
          <w:jc w:val="center"/>
        </w:trPr>
        <w:tc>
          <w:tcPr>
            <w:tcW w:w="737" w:type="dxa"/>
            <w:vMerge w:val="continue"/>
            <w:vAlign w:val="center"/>
          </w:tcPr>
          <w:p w14:paraId="5FB5BB1B">
            <w:pPr>
              <w:adjustRightInd w:val="0"/>
              <w:snapToGrid w:val="0"/>
              <w:spacing w:before="156" w:beforeLines="50" w:line="360" w:lineRule="auto"/>
              <w:rPr>
                <w:rFonts w:hint="eastAsia" w:ascii="宋体" w:hAnsi="宋体" w:eastAsia="宋体" w:cs="宋体"/>
                <w:color w:val="auto"/>
                <w:sz w:val="21"/>
                <w:szCs w:val="21"/>
              </w:rPr>
            </w:pPr>
          </w:p>
        </w:tc>
        <w:tc>
          <w:tcPr>
            <w:tcW w:w="737" w:type="dxa"/>
            <w:vMerge w:val="continue"/>
            <w:vAlign w:val="center"/>
          </w:tcPr>
          <w:p w14:paraId="750C4E48">
            <w:pPr>
              <w:adjustRightInd w:val="0"/>
              <w:snapToGrid w:val="0"/>
              <w:spacing w:before="156" w:beforeLines="50" w:line="360" w:lineRule="auto"/>
              <w:rPr>
                <w:rFonts w:hint="eastAsia" w:ascii="宋体" w:hAnsi="宋体" w:eastAsia="宋体" w:cs="宋体"/>
                <w:color w:val="auto"/>
                <w:sz w:val="21"/>
                <w:szCs w:val="21"/>
              </w:rPr>
            </w:pPr>
          </w:p>
        </w:tc>
        <w:tc>
          <w:tcPr>
            <w:tcW w:w="1075" w:type="dxa"/>
            <w:vAlign w:val="center"/>
          </w:tcPr>
          <w:p w14:paraId="464C50B0">
            <w:pPr>
              <w:adjustRightInd w:val="0"/>
              <w:snapToGrid w:val="0"/>
              <w:spacing w:before="156" w:before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业绩</w:t>
            </w:r>
          </w:p>
          <w:p w14:paraId="3468A4E4">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分）</w:t>
            </w:r>
          </w:p>
        </w:tc>
        <w:tc>
          <w:tcPr>
            <w:tcW w:w="7400" w:type="dxa"/>
            <w:vAlign w:val="center"/>
          </w:tcPr>
          <w:p w14:paraId="12645926">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投标人提供近三年（投标截止时间前1095日历天）类似工程监理服务项目业绩的，每提供</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个类似业绩得</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分，最高得</w:t>
            </w: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分。（以合同签订日期为准，提供合同原件的扫描件，否则不计分）</w:t>
            </w:r>
          </w:p>
        </w:tc>
      </w:tr>
    </w:tbl>
    <w:p w14:paraId="67DB17BC">
      <w:pPr>
        <w:rPr>
          <w:rFonts w:hint="eastAsia" w:ascii="宋体" w:hAnsi="宋体" w:eastAsia="宋体" w:cs="宋体"/>
          <w:color w:val="auto"/>
          <w:sz w:val="21"/>
          <w:szCs w:val="21"/>
          <w:lang w:val="ru-RU" w:eastAsia="ru-RU"/>
        </w:rPr>
      </w:pPr>
      <w:bookmarkStart w:id="95" w:name="_GoBack"/>
      <w:bookmarkEnd w:id="95"/>
    </w:p>
    <w:p w14:paraId="21A21CA9">
      <w:pPr>
        <w:jc w:val="center"/>
        <w:rPr>
          <w:rFonts w:hint="eastAsia" w:ascii="宋体" w:hAnsi="宋体" w:eastAsia="宋体" w:cs="宋体"/>
          <w:b/>
          <w:bCs/>
          <w:color w:val="auto"/>
          <w:sz w:val="21"/>
          <w:szCs w:val="21"/>
          <w:lang w:val="ru-RU"/>
        </w:rPr>
      </w:pPr>
      <w:r>
        <w:rPr>
          <w:rFonts w:hint="eastAsia" w:ascii="宋体" w:hAnsi="宋体" w:eastAsia="宋体" w:cs="宋体"/>
          <w:b/>
          <w:bCs/>
          <w:color w:val="auto"/>
          <w:sz w:val="21"/>
          <w:szCs w:val="21"/>
          <w:lang w:val="ru-RU" w:eastAsia="ru-RU"/>
        </w:rPr>
        <w:t>附表1.</w:t>
      </w: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ru-RU" w:eastAsia="ru-RU"/>
        </w:rPr>
        <w:t>技术部分评审评分表（分值</w:t>
      </w:r>
      <w:r>
        <w:rPr>
          <w:rFonts w:hint="eastAsia" w:ascii="宋体" w:hAnsi="宋体" w:eastAsia="宋体" w:cs="宋体"/>
          <w:b/>
          <w:bCs/>
          <w:color w:val="auto"/>
          <w:sz w:val="21"/>
          <w:szCs w:val="21"/>
        </w:rPr>
        <w:t>100</w:t>
      </w:r>
      <w:r>
        <w:rPr>
          <w:rFonts w:hint="eastAsia" w:ascii="宋体" w:hAnsi="宋体" w:eastAsia="宋体" w:cs="宋体"/>
          <w:b/>
          <w:bCs/>
          <w:color w:val="auto"/>
          <w:sz w:val="21"/>
          <w:szCs w:val="21"/>
          <w:lang w:val="ru-RU" w:eastAsia="ru-RU"/>
        </w:rPr>
        <w:t>分）</w:t>
      </w:r>
    </w:p>
    <w:tbl>
      <w:tblPr>
        <w:tblStyle w:val="25"/>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616"/>
        <w:gridCol w:w="1126"/>
        <w:gridCol w:w="500"/>
        <w:gridCol w:w="6716"/>
      </w:tblGrid>
      <w:tr w14:paraId="3C5F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616" w:type="dxa"/>
            <w:vAlign w:val="center"/>
          </w:tcPr>
          <w:p w14:paraId="5B864415">
            <w:pPr>
              <w:adjustRightInd w:val="0"/>
              <w:snapToGrid w:val="0"/>
              <w:spacing w:before="156" w:beforeLines="50" w:line="360" w:lineRule="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序号</w:t>
            </w:r>
          </w:p>
        </w:tc>
        <w:tc>
          <w:tcPr>
            <w:tcW w:w="1742" w:type="dxa"/>
            <w:gridSpan w:val="2"/>
            <w:vAlign w:val="center"/>
          </w:tcPr>
          <w:p w14:paraId="00249D79">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500" w:type="dxa"/>
            <w:vAlign w:val="center"/>
          </w:tcPr>
          <w:p w14:paraId="4E61D171">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716" w:type="dxa"/>
            <w:vAlign w:val="center"/>
          </w:tcPr>
          <w:p w14:paraId="06E6B08E">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r>
      <w:tr w14:paraId="72B9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blHeader/>
          <w:jc w:val="center"/>
        </w:trPr>
        <w:tc>
          <w:tcPr>
            <w:tcW w:w="616" w:type="dxa"/>
            <w:vMerge w:val="restart"/>
            <w:vAlign w:val="center"/>
          </w:tcPr>
          <w:p w14:paraId="2E3AD461">
            <w:pPr>
              <w:adjustRightInd w:val="0"/>
              <w:snapToGrid w:val="0"/>
              <w:spacing w:before="156" w:beforeLines="50" w:line="36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616" w:type="dxa"/>
            <w:vMerge w:val="restart"/>
            <w:vAlign w:val="center"/>
          </w:tcPr>
          <w:p w14:paraId="3A660CDF">
            <w:pPr>
              <w:adjustRightInd w:val="0"/>
              <w:snapToGrid w:val="0"/>
              <w:jc w:val="center"/>
              <w:rPr>
                <w:rFonts w:ascii="宋体" w:hAnsi="宋体"/>
                <w:color w:val="auto"/>
                <w:sz w:val="18"/>
                <w:szCs w:val="18"/>
              </w:rPr>
            </w:pPr>
            <w:r>
              <w:rPr>
                <w:rFonts w:hint="eastAsia" w:ascii="宋体" w:hAnsi="宋体"/>
                <w:color w:val="auto"/>
                <w:sz w:val="18"/>
                <w:szCs w:val="18"/>
                <w:lang w:eastAsia="zh-CN"/>
              </w:rPr>
              <w:t>技术</w:t>
            </w:r>
            <w:r>
              <w:rPr>
                <w:rFonts w:hint="eastAsia" w:ascii="宋体" w:hAnsi="宋体"/>
                <w:color w:val="auto"/>
                <w:sz w:val="18"/>
                <w:szCs w:val="18"/>
              </w:rPr>
              <w:t>评价项</w:t>
            </w:r>
          </w:p>
          <w:p w14:paraId="0ABD9CFD">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color w:val="auto"/>
                <w:sz w:val="18"/>
                <w:szCs w:val="18"/>
              </w:rPr>
              <w:t>（F=100分）</w:t>
            </w:r>
            <w:r>
              <w:rPr>
                <w:rFonts w:hint="eastAsia" w:ascii="宋体" w:hAnsi="宋体"/>
                <w:color w:val="auto"/>
                <w:sz w:val="18"/>
                <w:szCs w:val="18"/>
                <w:lang w:eastAsia="zh-CN"/>
              </w:rPr>
              <w:t>权重</w:t>
            </w:r>
            <w:r>
              <w:rPr>
                <w:rFonts w:hint="eastAsia" w:ascii="宋体" w:hAnsi="宋体"/>
                <w:color w:val="auto"/>
                <w:sz w:val="18"/>
                <w:szCs w:val="18"/>
                <w:lang w:val="en-US" w:eastAsia="zh-CN"/>
              </w:rPr>
              <w:t>45%</w:t>
            </w:r>
          </w:p>
        </w:tc>
        <w:tc>
          <w:tcPr>
            <w:tcW w:w="1126" w:type="dxa"/>
            <w:vAlign w:val="center"/>
          </w:tcPr>
          <w:p w14:paraId="63FBEACE">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监理范围、监理内容</w:t>
            </w:r>
          </w:p>
        </w:tc>
        <w:tc>
          <w:tcPr>
            <w:tcW w:w="500" w:type="dxa"/>
            <w:vAlign w:val="center"/>
          </w:tcPr>
          <w:p w14:paraId="0B01F61B">
            <w:pPr>
              <w:spacing w:line="300" w:lineRule="exact"/>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highlight w:val="none"/>
                <w:lang w:val="en-US" w:eastAsia="zh-CN"/>
              </w:rPr>
              <w:t>20</w:t>
            </w:r>
          </w:p>
        </w:tc>
        <w:tc>
          <w:tcPr>
            <w:tcW w:w="6716" w:type="dxa"/>
            <w:vAlign w:val="center"/>
          </w:tcPr>
          <w:p w14:paraId="3DC7AB21">
            <w:pPr>
              <w:spacing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根据供应商（投标人）提供针对本项目的监理范围、监理内容合理完善程度评审。监理范围、监理内容合理、周全、针对性强的计20分；监理范围、监理内容比较合理、比较周全、针对性较强的计15分；监理范围、监理内容不够合理、不够周全、针对性不强的计10分；未提供针对本项目监理范围、监理内容的不计分。</w:t>
            </w:r>
          </w:p>
        </w:tc>
      </w:tr>
      <w:tr w14:paraId="4653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blHeader/>
          <w:jc w:val="center"/>
        </w:trPr>
        <w:tc>
          <w:tcPr>
            <w:tcW w:w="616" w:type="dxa"/>
            <w:vMerge w:val="continue"/>
            <w:vAlign w:val="center"/>
          </w:tcPr>
          <w:p w14:paraId="4ECA74F4">
            <w:pPr>
              <w:adjustRightInd w:val="0"/>
              <w:snapToGrid w:val="0"/>
              <w:spacing w:before="156" w:beforeLines="50" w:line="360" w:lineRule="auto"/>
              <w:rPr>
                <w:rFonts w:hint="eastAsia" w:ascii="宋体" w:hAnsi="宋体" w:eastAsia="宋体" w:cs="宋体"/>
                <w:color w:val="auto"/>
                <w:sz w:val="21"/>
                <w:szCs w:val="21"/>
              </w:rPr>
            </w:pPr>
          </w:p>
        </w:tc>
        <w:tc>
          <w:tcPr>
            <w:tcW w:w="616" w:type="dxa"/>
            <w:vMerge w:val="continue"/>
            <w:vAlign w:val="center"/>
          </w:tcPr>
          <w:p w14:paraId="50A7A871">
            <w:pPr>
              <w:adjustRightInd w:val="0"/>
              <w:snapToGrid w:val="0"/>
              <w:spacing w:before="156" w:beforeLines="50" w:line="360" w:lineRule="auto"/>
              <w:rPr>
                <w:rFonts w:hint="eastAsia" w:ascii="宋体" w:hAnsi="宋体" w:eastAsia="宋体" w:cs="宋体"/>
                <w:color w:val="auto"/>
                <w:sz w:val="21"/>
                <w:szCs w:val="21"/>
              </w:rPr>
            </w:pPr>
          </w:p>
        </w:tc>
        <w:tc>
          <w:tcPr>
            <w:tcW w:w="1126" w:type="dxa"/>
            <w:vAlign w:val="center"/>
          </w:tcPr>
          <w:p w14:paraId="161D04C2">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监理依据、监理</w:t>
            </w:r>
          </w:p>
        </w:tc>
        <w:tc>
          <w:tcPr>
            <w:tcW w:w="500" w:type="dxa"/>
            <w:vAlign w:val="center"/>
          </w:tcPr>
          <w:p w14:paraId="1883D0CF">
            <w:pPr>
              <w:spacing w:line="300" w:lineRule="exact"/>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highlight w:val="none"/>
                <w:lang w:val="en-US" w:eastAsia="zh-CN"/>
              </w:rPr>
              <w:t>20</w:t>
            </w:r>
          </w:p>
        </w:tc>
        <w:tc>
          <w:tcPr>
            <w:tcW w:w="6716" w:type="dxa"/>
            <w:vAlign w:val="center"/>
          </w:tcPr>
          <w:p w14:paraId="1BA8B047">
            <w:pPr>
              <w:spacing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根据供应商（投标人）提供针对本项目的监理依据、监理工作目标合理完善程度评审。监理依据、监理工作目标合理、周全、针对性强的计20分；监理依据、监理工作目标比较合理、比较周全、针对性较强的计15分；监理依据、监理工作目标不够合理、不够周全、针对性不强的计10分；未提供针对本项目监理依据、监理工作目标的不计分。</w:t>
            </w:r>
          </w:p>
        </w:tc>
      </w:tr>
      <w:tr w14:paraId="3A7C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blHeader/>
          <w:jc w:val="center"/>
        </w:trPr>
        <w:tc>
          <w:tcPr>
            <w:tcW w:w="616" w:type="dxa"/>
            <w:vMerge w:val="continue"/>
            <w:vAlign w:val="center"/>
          </w:tcPr>
          <w:p w14:paraId="1B8C5B55">
            <w:pPr>
              <w:adjustRightInd w:val="0"/>
              <w:snapToGrid w:val="0"/>
              <w:spacing w:before="156" w:beforeLines="50" w:line="360" w:lineRule="auto"/>
              <w:rPr>
                <w:rFonts w:hint="eastAsia" w:ascii="宋体" w:hAnsi="宋体" w:eastAsia="宋体" w:cs="宋体"/>
                <w:color w:val="auto"/>
                <w:sz w:val="21"/>
                <w:szCs w:val="21"/>
              </w:rPr>
            </w:pPr>
          </w:p>
        </w:tc>
        <w:tc>
          <w:tcPr>
            <w:tcW w:w="616" w:type="dxa"/>
            <w:vMerge w:val="continue"/>
            <w:vAlign w:val="center"/>
          </w:tcPr>
          <w:p w14:paraId="339A17CB">
            <w:pPr>
              <w:adjustRightInd w:val="0"/>
              <w:snapToGrid w:val="0"/>
              <w:spacing w:before="156" w:beforeLines="50" w:line="360" w:lineRule="auto"/>
              <w:rPr>
                <w:rFonts w:hint="eastAsia" w:ascii="宋体" w:hAnsi="宋体" w:eastAsia="宋体" w:cs="宋体"/>
                <w:color w:val="auto"/>
                <w:sz w:val="21"/>
                <w:szCs w:val="21"/>
              </w:rPr>
            </w:pPr>
          </w:p>
        </w:tc>
        <w:tc>
          <w:tcPr>
            <w:tcW w:w="1126" w:type="dxa"/>
            <w:vAlign w:val="center"/>
          </w:tcPr>
          <w:p w14:paraId="5DD8EC2A">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监理工作程序、方法和制度</w:t>
            </w:r>
          </w:p>
        </w:tc>
        <w:tc>
          <w:tcPr>
            <w:tcW w:w="500" w:type="dxa"/>
            <w:vAlign w:val="center"/>
          </w:tcPr>
          <w:p w14:paraId="187A4152">
            <w:pPr>
              <w:spacing w:line="300" w:lineRule="exact"/>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highlight w:val="none"/>
                <w:lang w:val="en-US" w:eastAsia="zh-CN"/>
              </w:rPr>
              <w:t>20</w:t>
            </w:r>
          </w:p>
        </w:tc>
        <w:tc>
          <w:tcPr>
            <w:tcW w:w="6716" w:type="dxa"/>
            <w:vAlign w:val="center"/>
          </w:tcPr>
          <w:p w14:paraId="3CAB6599">
            <w:pPr>
              <w:spacing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根据供应商（投标人）提供针对本项目工程的监理工作程序、方法和制度进行评审，程序规范、方法、制度措施有力、设置合理者，得20分；程序规范、方法、制度措施一般、设置基本合理者，得15分；程序规范、方法、制度措施较差、设置不够合理者，得10分；未提供针对本项目监理工作程序、方法和制度的不计分。</w:t>
            </w:r>
          </w:p>
        </w:tc>
      </w:tr>
      <w:tr w14:paraId="2F57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blHeader/>
          <w:jc w:val="center"/>
        </w:trPr>
        <w:tc>
          <w:tcPr>
            <w:tcW w:w="616" w:type="dxa"/>
            <w:vMerge w:val="continue"/>
            <w:vAlign w:val="center"/>
          </w:tcPr>
          <w:p w14:paraId="399E7379">
            <w:pPr>
              <w:adjustRightInd w:val="0"/>
              <w:snapToGrid w:val="0"/>
              <w:spacing w:before="156" w:beforeLines="50" w:line="360" w:lineRule="auto"/>
              <w:rPr>
                <w:rFonts w:hint="eastAsia" w:ascii="宋体" w:hAnsi="宋体" w:eastAsia="宋体" w:cs="宋体"/>
                <w:color w:val="auto"/>
                <w:sz w:val="21"/>
                <w:szCs w:val="21"/>
              </w:rPr>
            </w:pPr>
          </w:p>
        </w:tc>
        <w:tc>
          <w:tcPr>
            <w:tcW w:w="616" w:type="dxa"/>
            <w:vMerge w:val="continue"/>
            <w:vAlign w:val="center"/>
          </w:tcPr>
          <w:p w14:paraId="52568106">
            <w:pPr>
              <w:adjustRightInd w:val="0"/>
              <w:snapToGrid w:val="0"/>
              <w:spacing w:before="156" w:beforeLines="50" w:line="360" w:lineRule="auto"/>
              <w:rPr>
                <w:rFonts w:hint="eastAsia" w:ascii="宋体" w:hAnsi="宋体" w:eastAsia="宋体" w:cs="宋体"/>
                <w:color w:val="auto"/>
                <w:sz w:val="21"/>
                <w:szCs w:val="21"/>
              </w:rPr>
            </w:pPr>
          </w:p>
        </w:tc>
        <w:tc>
          <w:tcPr>
            <w:tcW w:w="1126" w:type="dxa"/>
            <w:vAlign w:val="center"/>
          </w:tcPr>
          <w:p w14:paraId="660ABD40">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质量、进度、造价、安全、环保监理措施</w:t>
            </w:r>
          </w:p>
        </w:tc>
        <w:tc>
          <w:tcPr>
            <w:tcW w:w="500" w:type="dxa"/>
            <w:vAlign w:val="center"/>
          </w:tcPr>
          <w:p w14:paraId="773087A6">
            <w:pPr>
              <w:spacing w:line="300" w:lineRule="exact"/>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highlight w:val="none"/>
                <w:lang w:val="en-US" w:eastAsia="zh-CN"/>
              </w:rPr>
              <w:t>20</w:t>
            </w:r>
          </w:p>
        </w:tc>
        <w:tc>
          <w:tcPr>
            <w:tcW w:w="6716" w:type="dxa"/>
            <w:vAlign w:val="center"/>
          </w:tcPr>
          <w:p w14:paraId="65FD59C0">
            <w:pPr>
              <w:spacing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根据供应商（投标人）提供针对本项目工程的质量、进度、造价、安全、环保监理措施进行评审，措施合理、完善、针对性强的计20分；措施一般、不够完善、针对性不够强的计15分；措施不合理、不完善、针对性不强的计10分；未提供针对本项目质量、进度、造价、安全、环保监理措施的不计分。</w:t>
            </w:r>
          </w:p>
        </w:tc>
      </w:tr>
      <w:tr w14:paraId="1698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blHeader/>
          <w:jc w:val="center"/>
        </w:trPr>
        <w:tc>
          <w:tcPr>
            <w:tcW w:w="616" w:type="dxa"/>
            <w:vMerge w:val="continue"/>
            <w:vAlign w:val="center"/>
          </w:tcPr>
          <w:p w14:paraId="7F350507">
            <w:pPr>
              <w:adjustRightInd w:val="0"/>
              <w:snapToGrid w:val="0"/>
              <w:spacing w:before="156" w:beforeLines="50" w:line="360" w:lineRule="auto"/>
              <w:rPr>
                <w:rFonts w:hint="eastAsia" w:ascii="宋体" w:hAnsi="宋体" w:eastAsia="宋体" w:cs="宋体"/>
                <w:color w:val="auto"/>
                <w:sz w:val="21"/>
                <w:szCs w:val="21"/>
              </w:rPr>
            </w:pPr>
          </w:p>
        </w:tc>
        <w:tc>
          <w:tcPr>
            <w:tcW w:w="616" w:type="dxa"/>
            <w:vMerge w:val="continue"/>
            <w:vAlign w:val="center"/>
          </w:tcPr>
          <w:p w14:paraId="3617108C">
            <w:pPr>
              <w:adjustRightInd w:val="0"/>
              <w:snapToGrid w:val="0"/>
              <w:spacing w:before="156" w:beforeLines="50" w:line="360" w:lineRule="auto"/>
              <w:rPr>
                <w:rFonts w:hint="eastAsia" w:ascii="宋体" w:hAnsi="宋体" w:eastAsia="宋体" w:cs="宋体"/>
                <w:color w:val="auto"/>
                <w:sz w:val="21"/>
                <w:szCs w:val="21"/>
              </w:rPr>
            </w:pPr>
          </w:p>
        </w:tc>
        <w:tc>
          <w:tcPr>
            <w:tcW w:w="1126" w:type="dxa"/>
            <w:vAlign w:val="center"/>
          </w:tcPr>
          <w:p w14:paraId="09B774A7">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监理组织协调内容及措施</w:t>
            </w:r>
          </w:p>
        </w:tc>
        <w:tc>
          <w:tcPr>
            <w:tcW w:w="500" w:type="dxa"/>
            <w:vAlign w:val="center"/>
          </w:tcPr>
          <w:p w14:paraId="12F0B0D1">
            <w:pPr>
              <w:spacing w:line="300" w:lineRule="exact"/>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highlight w:val="none"/>
                <w:lang w:val="en-US" w:eastAsia="zh-CN"/>
              </w:rPr>
              <w:t>15</w:t>
            </w:r>
          </w:p>
        </w:tc>
        <w:tc>
          <w:tcPr>
            <w:tcW w:w="6716" w:type="dxa"/>
            <w:vAlign w:val="center"/>
          </w:tcPr>
          <w:p w14:paraId="6C45452B">
            <w:pPr>
              <w:spacing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根据供应商（投标人）提供的监理组织协调内容及措施进行评审，内容考虑周全、措施得当者，得15分；内容考虑较周全、措施较得当者，得10分；内容考虑不周全、措施不得当者，得5分；未提供监理组织协调内容及措施的不计分。</w:t>
            </w:r>
          </w:p>
        </w:tc>
      </w:tr>
      <w:tr w14:paraId="7C3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616" w:type="dxa"/>
            <w:vMerge w:val="continue"/>
            <w:vAlign w:val="center"/>
          </w:tcPr>
          <w:p w14:paraId="422F62B3">
            <w:pPr>
              <w:adjustRightInd w:val="0"/>
              <w:snapToGrid w:val="0"/>
              <w:spacing w:before="156" w:beforeLines="50" w:line="360" w:lineRule="auto"/>
              <w:rPr>
                <w:rFonts w:hint="eastAsia" w:ascii="宋体" w:hAnsi="宋体" w:eastAsia="宋体" w:cs="宋体"/>
                <w:color w:val="auto"/>
                <w:sz w:val="21"/>
                <w:szCs w:val="21"/>
              </w:rPr>
            </w:pPr>
          </w:p>
        </w:tc>
        <w:tc>
          <w:tcPr>
            <w:tcW w:w="616" w:type="dxa"/>
            <w:vMerge w:val="continue"/>
            <w:vAlign w:val="center"/>
          </w:tcPr>
          <w:p w14:paraId="76A5591A">
            <w:pPr>
              <w:adjustRightInd w:val="0"/>
              <w:snapToGrid w:val="0"/>
              <w:spacing w:before="156" w:beforeLines="50" w:line="360" w:lineRule="auto"/>
              <w:rPr>
                <w:rFonts w:hint="eastAsia" w:ascii="宋体" w:hAnsi="宋体" w:eastAsia="宋体" w:cs="宋体"/>
                <w:color w:val="auto"/>
                <w:sz w:val="21"/>
                <w:szCs w:val="21"/>
              </w:rPr>
            </w:pPr>
          </w:p>
        </w:tc>
        <w:tc>
          <w:tcPr>
            <w:tcW w:w="1126" w:type="dxa"/>
            <w:vAlign w:val="center"/>
          </w:tcPr>
          <w:p w14:paraId="7913AA4C">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合理化建议</w:t>
            </w:r>
          </w:p>
        </w:tc>
        <w:tc>
          <w:tcPr>
            <w:tcW w:w="500" w:type="dxa"/>
            <w:vAlign w:val="center"/>
          </w:tcPr>
          <w:p w14:paraId="39AF3A67">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5</w:t>
            </w:r>
          </w:p>
        </w:tc>
        <w:tc>
          <w:tcPr>
            <w:tcW w:w="6716" w:type="dxa"/>
            <w:vAlign w:val="center"/>
          </w:tcPr>
          <w:p w14:paraId="37BB148D">
            <w:pPr>
              <w:spacing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投标人提出的有价值、切实可行的合理化建议，方案合理、科学可行的计5分，良的计3分，一般的计1分，不合理或未提供的不计分。</w:t>
            </w:r>
          </w:p>
        </w:tc>
      </w:tr>
      <w:tr w14:paraId="5CF1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blHeader/>
          <w:jc w:val="center"/>
        </w:trPr>
        <w:tc>
          <w:tcPr>
            <w:tcW w:w="616" w:type="dxa"/>
            <w:vAlign w:val="center"/>
          </w:tcPr>
          <w:p w14:paraId="289587E6">
            <w:pPr>
              <w:pStyle w:val="8"/>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2</w:t>
            </w:r>
          </w:p>
        </w:tc>
        <w:tc>
          <w:tcPr>
            <w:tcW w:w="8958" w:type="dxa"/>
            <w:gridSpan w:val="4"/>
            <w:vAlign w:val="center"/>
          </w:tcPr>
          <w:p w14:paraId="45E00D07">
            <w:pPr>
              <w:adjustRightInd w:val="0"/>
              <w:snapToGrid w:val="0"/>
              <w:spacing w:before="156"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备注：请在响应文件的目录中标注以上计分项对应的页码，以免影响评分。</w:t>
            </w:r>
          </w:p>
          <w:p w14:paraId="5E7DE660">
            <w:pPr>
              <w:pStyle w:val="24"/>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（上述条款的设置，可根据项目的特点做适当调整）</w:t>
            </w:r>
          </w:p>
          <w:p w14:paraId="38316B6F">
            <w:pPr>
              <w:pStyle w:val="8"/>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评审因素技术与商务部分中如涉及“不符合要求、有缺陷、不合理、不完整”是指：非专门针对本项目或不适用项目的情形、内容不完整或缺少关键节点、套用其他项目方案、内容前后矛盾、涉及的规范及标准错误、不利于项目建设、不可能实现的情形等任意一种情形。</w:t>
            </w:r>
          </w:p>
        </w:tc>
      </w:tr>
    </w:tbl>
    <w:p w14:paraId="350BD596">
      <w:pPr>
        <w:pStyle w:val="11"/>
        <w:rPr>
          <w:color w:val="auto"/>
        </w:rPr>
        <w:sectPr>
          <w:pgSz w:w="11906" w:h="16838"/>
          <w:pgMar w:top="1474" w:right="1474" w:bottom="1474" w:left="1474" w:header="851" w:footer="992" w:gutter="0"/>
          <w:pgNumType w:fmt="decimal"/>
          <w:cols w:space="425" w:num="1"/>
          <w:docGrid w:type="linesAndChars" w:linePitch="312" w:charSpace="0"/>
        </w:sectPr>
      </w:pPr>
    </w:p>
    <w:bookmarkEnd w:id="62"/>
    <w:p w14:paraId="2EC2C8C1">
      <w:pPr>
        <w:pStyle w:val="4"/>
        <w:bidi w:val="0"/>
        <w:rPr>
          <w:color w:val="auto"/>
        </w:rPr>
      </w:pPr>
      <w:bookmarkStart w:id="63" w:name="_Toc29586"/>
      <w:bookmarkStart w:id="64" w:name="_Toc18690"/>
      <w:bookmarkStart w:id="65" w:name="_Toc12252"/>
      <w:r>
        <w:rPr>
          <w:rFonts w:hint="eastAsia"/>
          <w:color w:val="auto"/>
        </w:rPr>
        <w:t>第五章 采购需求</w:t>
      </w:r>
      <w:bookmarkEnd w:id="63"/>
      <w:bookmarkEnd w:id="64"/>
      <w:bookmarkEnd w:id="65"/>
    </w:p>
    <w:p w14:paraId="1ABC57E6">
      <w:pPr>
        <w:spacing w:line="600" w:lineRule="exact"/>
        <w:ind w:firstLine="482" w:firstLineChars="200"/>
        <w:rPr>
          <w:rFonts w:hint="eastAsia" w:ascii="宋体" w:hAnsi="宋体" w:eastAsia="宋体" w:cs="宋体"/>
          <w:color w:val="auto"/>
          <w:kern w:val="0"/>
          <w:sz w:val="24"/>
          <w:szCs w:val="24"/>
          <w:lang w:eastAsia="zh-CN"/>
        </w:rPr>
      </w:pPr>
      <w:r>
        <w:rPr>
          <w:rFonts w:hint="eastAsia" w:ascii="宋体" w:hAnsi="宋体" w:eastAsia="宋体" w:cs="宋体"/>
          <w:b/>
          <w:color w:val="auto"/>
          <w:sz w:val="24"/>
          <w:szCs w:val="24"/>
        </w:rPr>
        <w:t>一、项目名称</w:t>
      </w:r>
      <w:r>
        <w:rPr>
          <w:rFonts w:hint="eastAsia" w:ascii="宋体" w:hAnsi="宋体" w:cs="宋体"/>
          <w:b/>
          <w:color w:val="auto"/>
          <w:sz w:val="24"/>
          <w:szCs w:val="24"/>
          <w:lang w:eastAsia="zh-CN"/>
        </w:rPr>
        <w:t>：</w:t>
      </w:r>
      <w:r>
        <w:rPr>
          <w:rFonts w:hint="eastAsia" w:ascii="宋体" w:hAnsi="宋体" w:cs="宋体"/>
          <w:color w:val="auto"/>
          <w:kern w:val="0"/>
          <w:sz w:val="21"/>
          <w:szCs w:val="21"/>
          <w:lang w:eastAsia="zh-CN"/>
        </w:rPr>
        <w:t xml:space="preserve">娄底市万宝新区百亩安置基地二期(A地块)项目EPC工程总承包监理服务                 </w:t>
      </w:r>
      <w:r>
        <w:rPr>
          <w:rFonts w:hint="eastAsia" w:ascii="宋体" w:hAnsi="宋体" w:cs="宋体"/>
          <w:color w:val="auto"/>
          <w:kern w:val="0"/>
          <w:sz w:val="24"/>
          <w:szCs w:val="24"/>
          <w:lang w:eastAsia="zh-CN"/>
        </w:rPr>
        <w:t xml:space="preserve">                        </w:t>
      </w:r>
    </w:p>
    <w:p w14:paraId="5BE0B7BD">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二、项目概况</w:t>
      </w:r>
    </w:p>
    <w:p w14:paraId="383B49E6">
      <w:pPr>
        <w:adjustRightInd w:val="0"/>
        <w:snapToGrid w:val="0"/>
        <w:spacing w:line="360" w:lineRule="auto"/>
        <w:ind w:firstLine="420" w:firstLineChars="200"/>
        <w:rPr>
          <w:rFonts w:hint="eastAsia" w:ascii="宋体" w:hAnsi="宋体" w:eastAsia="宋体" w:cs="Times New Roman"/>
          <w:color w:val="auto"/>
          <w:sz w:val="21"/>
          <w:szCs w:val="21"/>
          <w:u w:val="none"/>
          <w:lang w:val="en-US" w:eastAsia="zh-CN"/>
        </w:rPr>
      </w:pPr>
      <w:r>
        <w:rPr>
          <w:rFonts w:hint="eastAsia" w:ascii="宋体" w:hAnsi="宋体" w:cs="宋体"/>
          <w:bCs/>
          <w:color w:val="auto"/>
          <w:sz w:val="21"/>
          <w:szCs w:val="21"/>
          <w:u w:val="none"/>
          <w:lang w:val="en-US" w:eastAsia="zh-CN"/>
        </w:rPr>
        <w:t>1、</w:t>
      </w:r>
      <w:r>
        <w:rPr>
          <w:rFonts w:hint="eastAsia" w:ascii="宋体" w:hAnsi="宋体" w:eastAsia="宋体" w:cs="宋体"/>
          <w:bCs/>
          <w:color w:val="auto"/>
          <w:sz w:val="21"/>
          <w:szCs w:val="21"/>
          <w:u w:val="none"/>
        </w:rPr>
        <w:t>本项目主要工作内容包含</w:t>
      </w:r>
      <w:r>
        <w:rPr>
          <w:rFonts w:hint="eastAsia" w:ascii="宋体" w:hAnsi="宋体" w:cs="宋体"/>
          <w:bCs/>
          <w:color w:val="auto"/>
          <w:sz w:val="21"/>
          <w:szCs w:val="21"/>
          <w:u w:val="none"/>
          <w:lang w:val="en-US" w:eastAsia="zh-CN"/>
        </w:rPr>
        <w:t>施工部分（包括但不限于）：</w:t>
      </w:r>
      <w:r>
        <w:rPr>
          <w:rFonts w:hint="eastAsia" w:ascii="宋体" w:hAnsi="宋体"/>
          <w:color w:val="auto"/>
          <w:sz w:val="21"/>
          <w:szCs w:val="21"/>
          <w:u w:val="none"/>
          <w:lang w:val="en-US" w:eastAsia="zh-CN"/>
        </w:rPr>
        <w:t>完成娄底市万宝新区百亩安置基地二期(A地块)项目EPC工程总承包项目红线范围内，安置房桩基工程(1~16#栋）、安置房基础建筑工程(1~16#栋），室外弱电预埋管工程、室外路灯工程、充电桩（管道预埋）、小区游园、室外道路工程、室外铺装工程、室外管网及附属工程、施工勘察(一桩一探)等工程内容</w:t>
      </w:r>
      <w:r>
        <w:rPr>
          <w:rFonts w:hint="eastAsia" w:ascii="宋体" w:hAnsi="宋体" w:cs="宋体"/>
          <w:bCs/>
          <w:color w:val="auto"/>
          <w:sz w:val="21"/>
          <w:szCs w:val="21"/>
          <w:u w:val="none"/>
          <w:lang w:val="en-US" w:eastAsia="zh-CN"/>
        </w:rPr>
        <w:t>，具体以工程总承包合同为准。</w:t>
      </w:r>
      <w:r>
        <w:rPr>
          <w:rFonts w:hint="eastAsia" w:ascii="宋体" w:hAnsi="宋体"/>
          <w:color w:val="auto"/>
          <w:sz w:val="21"/>
          <w:szCs w:val="21"/>
          <w:u w:val="none"/>
          <w:lang w:val="en-US" w:eastAsia="zh-CN"/>
        </w:rPr>
        <w:t>娄底市香泉湾安置小区二期EPC工程总承包项目中标金额33600247.49元；施工勘察(一桩一探)金额为1850065.12元；合计35450312.61元。</w:t>
      </w:r>
    </w:p>
    <w:p w14:paraId="5237DBBF">
      <w:pPr>
        <w:adjustRightInd w:val="0"/>
        <w:snapToGrid w:val="0"/>
        <w:spacing w:line="360" w:lineRule="auto"/>
        <w:ind w:firstLine="420" w:firstLineChars="200"/>
        <w:rPr>
          <w:rFonts w:hint="default" w:ascii="宋体" w:hAnsi="宋体" w:eastAsia="宋体" w:cs="Times New Roman"/>
          <w:color w:val="auto"/>
          <w:sz w:val="21"/>
          <w:szCs w:val="21"/>
          <w:u w:val="none"/>
          <w:lang w:val="en-US" w:eastAsia="zh-CN"/>
        </w:rPr>
      </w:pPr>
      <w:r>
        <w:rPr>
          <w:rFonts w:hint="eastAsia" w:ascii="宋体" w:hAnsi="宋体" w:cs="Times New Roman"/>
          <w:color w:val="auto"/>
          <w:sz w:val="21"/>
          <w:szCs w:val="21"/>
          <w:u w:val="none"/>
          <w:lang w:val="en-US" w:eastAsia="zh-CN"/>
        </w:rPr>
        <w:t>2、</w:t>
      </w:r>
      <w:r>
        <w:rPr>
          <w:rFonts w:hint="eastAsia" w:ascii="宋体" w:hAnsi="宋体" w:eastAsia="宋体" w:cs="Times New Roman"/>
          <w:color w:val="auto"/>
          <w:sz w:val="21"/>
          <w:szCs w:val="21"/>
          <w:u w:val="none"/>
          <w:lang w:val="en-US" w:eastAsia="zh-CN"/>
        </w:rPr>
        <w:t>监理服务费最高费率：1.50%。</w:t>
      </w:r>
      <w:r>
        <w:rPr>
          <w:rFonts w:hint="eastAsia" w:ascii="宋体" w:hAnsi="宋体"/>
          <w:bCs/>
          <w:color w:val="auto"/>
          <w:sz w:val="21"/>
          <w:szCs w:val="21"/>
          <w:u w:val="none"/>
          <w:lang w:eastAsia="zh-CN"/>
        </w:rPr>
        <w:t>（小数点后保留</w:t>
      </w:r>
      <w:r>
        <w:rPr>
          <w:rFonts w:hint="eastAsia" w:ascii="宋体" w:hAnsi="宋体"/>
          <w:bCs/>
          <w:color w:val="auto"/>
          <w:sz w:val="21"/>
          <w:szCs w:val="21"/>
          <w:u w:val="none"/>
          <w:lang w:val="en-US" w:eastAsia="zh-CN"/>
        </w:rPr>
        <w:t>2位</w:t>
      </w:r>
      <w:r>
        <w:rPr>
          <w:rFonts w:hint="eastAsia" w:ascii="宋体" w:hAnsi="宋体"/>
          <w:bCs/>
          <w:color w:val="auto"/>
          <w:sz w:val="21"/>
          <w:szCs w:val="21"/>
          <w:u w:val="none"/>
          <w:lang w:eastAsia="zh-CN"/>
        </w:rPr>
        <w:t>）</w:t>
      </w:r>
    </w:p>
    <w:p w14:paraId="1813B5EA">
      <w:pPr>
        <w:adjustRightInd w:val="0"/>
        <w:snapToGrid w:val="0"/>
        <w:spacing w:line="360" w:lineRule="auto"/>
        <w:ind w:firstLine="420" w:firstLineChars="200"/>
        <w:rPr>
          <w:rFonts w:hint="eastAsia"/>
          <w:color w:val="auto"/>
          <w:sz w:val="21"/>
          <w:szCs w:val="21"/>
          <w:u w:val="none"/>
        </w:rPr>
      </w:pPr>
      <w:r>
        <w:rPr>
          <w:rFonts w:hint="eastAsia" w:ascii="宋体" w:hAnsi="宋体"/>
          <w:bCs/>
          <w:color w:val="auto"/>
          <w:sz w:val="21"/>
          <w:szCs w:val="21"/>
          <w:u w:val="none"/>
          <w:lang w:val="en-US" w:eastAsia="zh-CN"/>
        </w:rPr>
        <w:t>3、</w:t>
      </w:r>
      <w:r>
        <w:rPr>
          <w:rFonts w:hint="eastAsia" w:ascii="宋体" w:hAnsi="宋体"/>
          <w:bCs/>
          <w:color w:val="auto"/>
          <w:sz w:val="21"/>
          <w:szCs w:val="21"/>
          <w:u w:val="none"/>
        </w:rPr>
        <w:t>采购项目</w:t>
      </w:r>
      <w:r>
        <w:rPr>
          <w:rFonts w:hint="eastAsia" w:ascii="宋体" w:hAnsi="宋体"/>
          <w:bCs/>
          <w:color w:val="auto"/>
          <w:sz w:val="21"/>
          <w:szCs w:val="21"/>
          <w:u w:val="none"/>
          <w:lang w:eastAsia="zh-CN"/>
        </w:rPr>
        <w:t>最高限价</w:t>
      </w:r>
      <w:r>
        <w:rPr>
          <w:rFonts w:hint="eastAsia" w:ascii="宋体" w:hAnsi="宋体"/>
          <w:bCs/>
          <w:color w:val="auto"/>
          <w:sz w:val="21"/>
          <w:szCs w:val="21"/>
          <w:u w:val="none"/>
        </w:rPr>
        <w:t>：</w:t>
      </w:r>
      <w:r>
        <w:rPr>
          <w:rFonts w:hint="eastAsia" w:ascii="宋体" w:hAnsi="宋体"/>
          <w:bCs/>
          <w:color w:val="auto"/>
          <w:sz w:val="21"/>
          <w:szCs w:val="21"/>
          <w:u w:val="none"/>
          <w:lang w:val="en-US" w:eastAsia="zh-CN"/>
        </w:rPr>
        <w:t>531754.69元</w:t>
      </w:r>
      <w:r>
        <w:rPr>
          <w:rFonts w:hint="eastAsia" w:ascii="宋体" w:hAnsi="宋体"/>
          <w:bCs/>
          <w:color w:val="auto"/>
          <w:sz w:val="21"/>
          <w:szCs w:val="21"/>
          <w:u w:val="none"/>
          <w:lang w:eastAsia="zh-CN"/>
        </w:rPr>
        <w:t>（小数点后保留</w:t>
      </w:r>
      <w:r>
        <w:rPr>
          <w:rFonts w:hint="eastAsia" w:ascii="宋体" w:hAnsi="宋体"/>
          <w:bCs/>
          <w:color w:val="auto"/>
          <w:sz w:val="21"/>
          <w:szCs w:val="21"/>
          <w:u w:val="none"/>
          <w:lang w:val="en-US" w:eastAsia="zh-CN"/>
        </w:rPr>
        <w:t>2位</w:t>
      </w:r>
      <w:r>
        <w:rPr>
          <w:rFonts w:hint="eastAsia" w:ascii="宋体" w:hAnsi="宋体"/>
          <w:bCs/>
          <w:color w:val="auto"/>
          <w:sz w:val="21"/>
          <w:szCs w:val="21"/>
          <w:u w:val="none"/>
          <w:lang w:eastAsia="zh-CN"/>
        </w:rPr>
        <w:t>）</w:t>
      </w:r>
      <w:r>
        <w:rPr>
          <w:rFonts w:hint="eastAsia" w:ascii="宋体" w:hAnsi="宋体"/>
          <w:bCs/>
          <w:color w:val="auto"/>
          <w:sz w:val="21"/>
          <w:szCs w:val="21"/>
          <w:u w:val="none"/>
        </w:rPr>
        <w:t xml:space="preserve">   </w:t>
      </w:r>
    </w:p>
    <w:p w14:paraId="4F4E7A5E">
      <w:pPr>
        <w:numPr>
          <w:ilvl w:val="0"/>
          <w:numId w:val="4"/>
        </w:num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项目作业</w:t>
      </w:r>
      <w:r>
        <w:rPr>
          <w:rFonts w:hint="eastAsia" w:ascii="宋体" w:hAnsi="宋体" w:cs="宋体"/>
          <w:b/>
          <w:color w:val="auto"/>
          <w:sz w:val="24"/>
          <w:szCs w:val="24"/>
          <w:lang w:eastAsia="zh-CN"/>
        </w:rPr>
        <w:t>货物</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服务范围</w:t>
      </w:r>
    </w:p>
    <w:p w14:paraId="69B64110">
      <w:pPr>
        <w:widowControl/>
        <w:spacing w:line="360" w:lineRule="auto"/>
        <w:ind w:firstLine="420" w:firstLineChars="200"/>
        <w:rPr>
          <w:rFonts w:hint="eastAsia" w:ascii="宋体" w:hAnsi="宋体" w:cs="宋体"/>
          <w:color w:val="auto"/>
          <w:kern w:val="0"/>
          <w:sz w:val="21"/>
          <w:szCs w:val="21"/>
          <w:lang w:eastAsia="zh-CN"/>
        </w:rPr>
      </w:pPr>
      <w:r>
        <w:rPr>
          <w:rFonts w:hint="eastAsia" w:ascii="宋体" w:hAnsi="宋体" w:eastAsia="宋体" w:cs="宋体"/>
          <w:color w:val="auto"/>
          <w:sz w:val="21"/>
          <w:szCs w:val="21"/>
          <w:lang w:val="en-US" w:eastAsia="zh-CN"/>
        </w:rPr>
        <w:t>本次采购该项目的监理服务。包括</w:t>
      </w:r>
      <w:r>
        <w:rPr>
          <w:rFonts w:hint="eastAsia" w:ascii="宋体" w:hAnsi="宋体" w:eastAsia="宋体" w:cs="宋体"/>
          <w:color w:val="auto"/>
          <w:sz w:val="21"/>
          <w:szCs w:val="21"/>
          <w:lang w:eastAsia="zh-CN"/>
        </w:rPr>
        <w:t>施工准备阶段、施工阶段、保修阶段、缺陷责任期的施工全过程监理，包括质量控制、投资控制、进度控制、组织协调、合同管理、安全文明施工监理。</w:t>
      </w:r>
    </w:p>
    <w:p w14:paraId="1DC90F79">
      <w:pPr>
        <w:keepNext w:val="0"/>
        <w:keepLines w:val="0"/>
        <w:pageBreakBefore w:val="0"/>
        <w:kinsoku/>
        <w:wordWrap/>
        <w:overflowPunct/>
        <w:topLinePunct w:val="0"/>
        <w:autoSpaceDE w:val="0"/>
        <w:autoSpaceDN w:val="0"/>
        <w:bidi w:val="0"/>
        <w:adjustRightInd w:val="0"/>
        <w:snapToGrid w:val="0"/>
        <w:spacing w:line="400" w:lineRule="atLeast"/>
        <w:ind w:firstLine="482" w:firstLineChars="200"/>
        <w:jc w:val="left"/>
        <w:textAlignment w:val="auto"/>
        <w:rPr>
          <w:rFonts w:hint="eastAsia" w:ascii="宋体" w:hAnsi="宋体"/>
          <w:b/>
          <w:color w:val="auto"/>
          <w:kern w:val="0"/>
          <w:sz w:val="24"/>
          <w:szCs w:val="21"/>
        </w:rPr>
      </w:pPr>
      <w:r>
        <w:rPr>
          <w:rFonts w:hint="eastAsia" w:ascii="宋体" w:hAnsi="宋体"/>
          <w:b/>
          <w:color w:val="auto"/>
          <w:kern w:val="0"/>
          <w:sz w:val="24"/>
          <w:szCs w:val="21"/>
        </w:rPr>
        <w:t>四、</w:t>
      </w:r>
      <w:r>
        <w:rPr>
          <w:rFonts w:hint="eastAsia" w:ascii="宋体" w:hAnsi="宋体"/>
          <w:b/>
          <w:color w:val="auto"/>
          <w:sz w:val="24"/>
        </w:rPr>
        <w:t>服务</w:t>
      </w:r>
      <w:r>
        <w:rPr>
          <w:rFonts w:hint="eastAsia" w:ascii="宋体" w:hAnsi="宋体"/>
          <w:b/>
          <w:color w:val="auto"/>
          <w:sz w:val="24"/>
          <w:lang w:eastAsia="zh-CN"/>
        </w:rPr>
        <w:t>要求</w:t>
      </w:r>
      <w:r>
        <w:rPr>
          <w:rFonts w:hint="eastAsia" w:ascii="宋体" w:hAnsi="宋体"/>
          <w:b/>
          <w:color w:val="auto"/>
          <w:sz w:val="24"/>
        </w:rPr>
        <w:t>、质量标准</w:t>
      </w:r>
      <w:r>
        <w:rPr>
          <w:rFonts w:hint="eastAsia" w:ascii="宋体" w:hAnsi="宋体"/>
          <w:b/>
          <w:color w:val="auto"/>
          <w:sz w:val="24"/>
          <w:lang w:eastAsia="zh-CN"/>
        </w:rPr>
        <w:t>及验收</w:t>
      </w:r>
      <w:r>
        <w:rPr>
          <w:rFonts w:hint="eastAsia" w:ascii="宋体" w:hAnsi="宋体"/>
          <w:b/>
          <w:color w:val="auto"/>
          <w:kern w:val="0"/>
          <w:sz w:val="24"/>
          <w:szCs w:val="21"/>
        </w:rPr>
        <w:t>：</w:t>
      </w:r>
    </w:p>
    <w:p w14:paraId="6CE1CDBE">
      <w:pPr>
        <w:widowControl/>
        <w:spacing w:line="360" w:lineRule="auto"/>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1、</w:t>
      </w:r>
      <w:r>
        <w:rPr>
          <w:rFonts w:hint="eastAsia" w:ascii="宋体" w:hAnsi="宋体"/>
          <w:color w:val="auto"/>
          <w:sz w:val="21"/>
          <w:szCs w:val="21"/>
        </w:rPr>
        <w:t>服务周期：</w:t>
      </w:r>
      <w:r>
        <w:rPr>
          <w:rFonts w:hint="eastAsia" w:ascii="宋体" w:hAnsi="宋体" w:eastAsia="宋体" w:cs="宋体"/>
          <w:color w:val="auto"/>
          <w:sz w:val="21"/>
          <w:szCs w:val="21"/>
        </w:rPr>
        <w:t>包括但不限于施工准备阶段开始至缺陷责任期结束,具体服务期须配合施工，以合同为准</w:t>
      </w:r>
      <w:r>
        <w:rPr>
          <w:rFonts w:hint="eastAsia" w:ascii="宋体" w:hAnsi="宋体"/>
          <w:color w:val="auto"/>
          <w:sz w:val="21"/>
          <w:szCs w:val="21"/>
          <w:lang w:val="en-US" w:eastAsia="zh-CN"/>
        </w:rPr>
        <w:t>；</w:t>
      </w:r>
    </w:p>
    <w:p w14:paraId="1C140BEF">
      <w:pPr>
        <w:widowControl/>
        <w:spacing w:line="36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质量要求：</w:t>
      </w:r>
      <w:r>
        <w:rPr>
          <w:rFonts w:hint="eastAsia" w:ascii="宋体" w:hAnsi="宋体" w:eastAsia="宋体" w:cs="宋体"/>
          <w:color w:val="auto"/>
          <w:sz w:val="21"/>
          <w:szCs w:val="21"/>
        </w:rPr>
        <w:t>符合现行国家标准规范、行业标准规范、地方标准和当地建设主管部门等相关要求，确保分部分项工程达到100%合格，一次验收合格并通过验收、备案，达到合格质量标准。</w:t>
      </w:r>
    </w:p>
    <w:p w14:paraId="6BCE2697">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、验收：</w:t>
      </w:r>
      <w:r>
        <w:rPr>
          <w:rFonts w:hint="eastAsia" w:ascii="宋体" w:hAnsi="宋体" w:eastAsia="宋体" w:cs="宋体"/>
          <w:color w:val="auto"/>
          <w:sz w:val="21"/>
          <w:szCs w:val="21"/>
          <w:lang w:eastAsia="zh-CN"/>
        </w:rPr>
        <w:t>按有关规定参加工程验收，负责完成监理资料的汇总、整理、协助委托人检查承包人的合同执行情况；做好验收的各项准备工作或者配合工作，提供工程监理资料，</w:t>
      </w:r>
      <w:r>
        <w:rPr>
          <w:rFonts w:hint="eastAsia" w:ascii="宋体" w:hAnsi="宋体" w:eastAsia="宋体" w:cs="宋体"/>
          <w:color w:val="auto"/>
          <w:sz w:val="21"/>
          <w:szCs w:val="21"/>
          <w:lang w:val="en-US" w:eastAsia="zh-CN"/>
        </w:rPr>
        <w:t>提交监理工作报告。</w:t>
      </w:r>
    </w:p>
    <w:p w14:paraId="7C2E8740">
      <w:pPr>
        <w:widowControl/>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4、监理</w:t>
      </w:r>
      <w:r>
        <w:rPr>
          <w:rFonts w:hint="eastAsia" w:ascii="宋体" w:hAnsi="宋体" w:eastAsia="宋体" w:cs="宋体"/>
          <w:color w:val="auto"/>
          <w:sz w:val="21"/>
          <w:szCs w:val="21"/>
          <w:lang w:eastAsia="zh-CN"/>
        </w:rPr>
        <w:t>服务内容：</w:t>
      </w:r>
    </w:p>
    <w:p w14:paraId="42622F48">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4.1收到工程设计文件后编制监理规划，并在第一次工地会议7天前报委托人;根据有关规定和监理工程需要，编制监理实施细则。</w:t>
      </w:r>
    </w:p>
    <w:p w14:paraId="61FB8848">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4.2熟悉工程设计文件,并参加由委托人主持的图纸会审和设计交底会议。</w:t>
      </w:r>
    </w:p>
    <w:p w14:paraId="2E2602C8">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4.3参加由委托人主持的第一次工地会议;主持监理例会:并根据工程需要主持或参加专题会议。</w:t>
      </w:r>
    </w:p>
    <w:p w14:paraId="4A27D5C4">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4.4审查施工承包单位提交的施工组织设计,重点审查其中的质量安全技术措施、专项施工方案与工程建设强制性标准的符合性。</w:t>
      </w:r>
    </w:p>
    <w:p w14:paraId="16E4274D">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4.5检查施工承包单位工程质量、安全生产管理制度及组织机构和人员资格。</w:t>
      </w:r>
    </w:p>
    <w:p w14:paraId="674D2AC5">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4.6检查施工承包单位专职安全生产管理人员的配备情况。</w:t>
      </w:r>
    </w:p>
    <w:p w14:paraId="79D14D53">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4.7审查施工单位提交的施工进度计划,核查承包人对施工进度计划的调整。</w:t>
      </w:r>
    </w:p>
    <w:p w14:paraId="7C0C1552">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4.8检查施工承包单位的试验室。</w:t>
      </w:r>
    </w:p>
    <w:p w14:paraId="03D50F0F">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4.9审核施工分包单位资质条件。</w:t>
      </w:r>
    </w:p>
    <w:p w14:paraId="7C5E76D7">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4.10查验施工承包单位的施工测量放线成果:</w:t>
      </w:r>
    </w:p>
    <w:p w14:paraId="7A4D1C61">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4.11审查工程开工条件、对条件具备的签发开工令。</w:t>
      </w:r>
    </w:p>
    <w:p w14:paraId="28B486F0">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4.12审查施工承包单位报送的工程材料、构配件、设备质量证明文件的有效性和符合性,并按规定对用于工程的材料采取平行检验或见证取样方式进行抽检。</w:t>
      </w:r>
    </w:p>
    <w:p w14:paraId="0149C15D">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4.13审核施工承包单位提交的工程款支付申请，签发或出具工程款支付证书，并报委托人审核、批准。</w:t>
      </w:r>
    </w:p>
    <w:p w14:paraId="320F43B0">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4.14在巡视、旁站和检验过程中，发现工程质量、施工安全存在的事故隐患的，要求施工承包单位整改并报委托人。</w:t>
      </w:r>
    </w:p>
    <w:p w14:paraId="706E2D04">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4.15经委托人同意签发工程暂停令和复工令。</w:t>
      </w:r>
    </w:p>
    <w:p w14:paraId="72C92354">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4.16审查施工承包单位提交的采用新材料、新工艺、新技术、新设备的论证材料及相关验收标准。</w:t>
      </w:r>
    </w:p>
    <w:p w14:paraId="2C53C0D5">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4.17验收隐蔽工程、分部分项工程。</w:t>
      </w:r>
    </w:p>
    <w:p w14:paraId="53AB666C">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4.18审查施工承包单位提交的工程变更申请，协调处理施工进度调整、费用索赔、合同争议等事项</w:t>
      </w:r>
    </w:p>
    <w:p w14:paraId="1134698A">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4.19审查施工承包单位提交的竣工验收申请，编写工程质量评估报告。</w:t>
      </w:r>
    </w:p>
    <w:p w14:paraId="30933870">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4.20参加工程竣工验收，签署竣工验收意见。</w:t>
      </w:r>
    </w:p>
    <w:p w14:paraId="79AC3BB6">
      <w:pPr>
        <w:spacing w:line="360" w:lineRule="auto"/>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4.21审查施工承包单位提交的竣工结算申请并报委托人。</w:t>
      </w:r>
    </w:p>
    <w:p w14:paraId="0D90028D">
      <w:pPr>
        <w:spacing w:line="360" w:lineRule="auto"/>
        <w:ind w:firstLine="480"/>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4.22编制、整理工程监理归档文件并报委托人。</w:t>
      </w:r>
    </w:p>
    <w:p w14:paraId="0CB30045">
      <w:pPr>
        <w:spacing w:line="360" w:lineRule="auto"/>
        <w:ind w:firstLine="480"/>
        <w:rPr>
          <w:rFonts w:hint="eastAsia" w:ascii="宋体" w:hAnsi="宋体" w:eastAsia="宋体" w:cs="宋体"/>
          <w:color w:val="auto"/>
          <w:kern w:val="0"/>
          <w:sz w:val="24"/>
          <w:szCs w:val="24"/>
        </w:rPr>
      </w:pPr>
      <w:r>
        <w:rPr>
          <w:rFonts w:hint="eastAsia" w:ascii="宋体" w:hAnsi="宋体"/>
          <w:b/>
          <w:color w:val="auto"/>
          <w:sz w:val="24"/>
          <w:lang w:eastAsia="zh-CN"/>
        </w:rPr>
        <w:t>五、</w:t>
      </w:r>
      <w:r>
        <w:rPr>
          <w:rFonts w:hint="eastAsia" w:ascii="宋体" w:hAnsi="宋体" w:eastAsia="宋体" w:cs="宋体"/>
          <w:b/>
          <w:bCs/>
          <w:color w:val="auto"/>
          <w:kern w:val="0"/>
          <w:sz w:val="24"/>
          <w:szCs w:val="24"/>
        </w:rPr>
        <w:t>人员配备</w:t>
      </w:r>
      <w:r>
        <w:rPr>
          <w:rFonts w:hint="eastAsia" w:ascii="宋体" w:hAnsi="宋体" w:eastAsia="宋体" w:cs="宋体"/>
          <w:color w:val="auto"/>
          <w:kern w:val="0"/>
          <w:sz w:val="24"/>
          <w:szCs w:val="24"/>
        </w:rPr>
        <w:t>：</w:t>
      </w:r>
    </w:p>
    <w:p w14:paraId="64F0FBCC">
      <w:pPr>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拟任总监理工程师资格要求：拟任总监理工程师必须具有房屋建筑工程专业国家注册监理工程师证书（在有效期内），注册单位应与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名称一致；在</w:t>
      </w:r>
      <w:r>
        <w:rPr>
          <w:rFonts w:hint="eastAsia" w:ascii="宋体" w:hAnsi="宋体" w:eastAsia="宋体" w:cs="宋体"/>
          <w:color w:val="auto"/>
          <w:kern w:val="0"/>
          <w:sz w:val="21"/>
          <w:szCs w:val="21"/>
          <w:highlight w:val="none"/>
          <w:lang w:eastAsia="zh-CN"/>
        </w:rPr>
        <w:t>娄底</w:t>
      </w:r>
      <w:r>
        <w:rPr>
          <w:rFonts w:hint="eastAsia" w:ascii="宋体" w:hAnsi="宋体" w:eastAsia="宋体" w:cs="宋体"/>
          <w:color w:val="auto"/>
          <w:kern w:val="0"/>
          <w:sz w:val="21"/>
          <w:szCs w:val="21"/>
          <w:highlight w:val="none"/>
        </w:rPr>
        <w:t>市行政区域内</w:t>
      </w:r>
      <w:r>
        <w:rPr>
          <w:rFonts w:hint="eastAsia" w:ascii="宋体" w:hAnsi="宋体" w:eastAsia="宋体" w:cs="宋体"/>
          <w:color w:val="auto"/>
          <w:kern w:val="0"/>
          <w:sz w:val="21"/>
          <w:szCs w:val="21"/>
          <w:highlight w:val="none"/>
          <w:lang w:val="en-US" w:eastAsia="zh-CN"/>
        </w:rPr>
        <w:t>不得同时担任超过</w:t>
      </w:r>
      <w:r>
        <w:rPr>
          <w:rFonts w:hint="eastAsia" w:ascii="宋体" w:hAnsi="宋体" w:cs="宋体"/>
          <w:color w:val="FF0000"/>
          <w:kern w:val="0"/>
          <w:sz w:val="21"/>
          <w:szCs w:val="21"/>
          <w:highlight w:val="none"/>
          <w:lang w:val="en-US" w:eastAsia="zh-CN"/>
        </w:rPr>
        <w:t>2</w:t>
      </w:r>
      <w:r>
        <w:rPr>
          <w:rFonts w:hint="eastAsia" w:ascii="宋体" w:hAnsi="宋体" w:eastAsia="宋体" w:cs="宋体"/>
          <w:color w:val="FF0000"/>
          <w:kern w:val="0"/>
          <w:sz w:val="21"/>
          <w:szCs w:val="21"/>
          <w:highlight w:val="none"/>
          <w:lang w:val="en-US" w:eastAsia="zh-CN"/>
        </w:rPr>
        <w:t>个</w:t>
      </w:r>
      <w:r>
        <w:rPr>
          <w:rFonts w:hint="eastAsia" w:ascii="宋体" w:hAnsi="宋体" w:eastAsia="宋体" w:cs="宋体"/>
          <w:color w:val="auto"/>
          <w:kern w:val="0"/>
          <w:sz w:val="21"/>
          <w:szCs w:val="21"/>
          <w:highlight w:val="none"/>
          <w:lang w:val="en-US" w:eastAsia="zh-CN"/>
        </w:rPr>
        <w:t>项目的</w:t>
      </w:r>
      <w:r>
        <w:rPr>
          <w:rFonts w:hint="eastAsia" w:ascii="宋体" w:hAnsi="宋体" w:eastAsia="宋体" w:cs="宋体"/>
          <w:color w:val="auto"/>
          <w:kern w:val="0"/>
          <w:sz w:val="21"/>
          <w:szCs w:val="21"/>
          <w:highlight w:val="none"/>
        </w:rPr>
        <w:t>总监理工程师，且在</w:t>
      </w:r>
      <w:r>
        <w:rPr>
          <w:rFonts w:hint="eastAsia" w:ascii="宋体" w:hAnsi="宋体" w:eastAsia="宋体" w:cs="宋体"/>
          <w:color w:val="auto"/>
          <w:kern w:val="0"/>
          <w:sz w:val="21"/>
          <w:szCs w:val="21"/>
          <w:highlight w:val="none"/>
          <w:lang w:eastAsia="zh-CN"/>
        </w:rPr>
        <w:t>娄底</w:t>
      </w:r>
      <w:r>
        <w:rPr>
          <w:rFonts w:hint="eastAsia" w:ascii="宋体" w:hAnsi="宋体" w:eastAsia="宋体" w:cs="宋体"/>
          <w:color w:val="auto"/>
          <w:kern w:val="0"/>
          <w:sz w:val="21"/>
          <w:szCs w:val="21"/>
          <w:highlight w:val="none"/>
        </w:rPr>
        <w:t>市行政区域外不得同时在监其他建设工程项目；</w:t>
      </w:r>
    </w:p>
    <w:p w14:paraId="375D1D83">
      <w:pPr>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任专业监理工程师资格要求：拟任专业监理工程师应具有房屋建筑工程专业国家注册监理工程师证书或湖南省总监理工程师代表培训合格证书或湖南省监理工程师证书或湖南省专业监理工程师培训合格证书，且无在监项目；</w:t>
      </w:r>
    </w:p>
    <w:p w14:paraId="45285440">
      <w:pPr>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拟任监理员资格要求：拟任监理员应具有国家注册监理工程师证书或湖南省总监理工程师代表培训合格证书或湖南省监理工程师岗位证书或湖南省监理员岗位证书，且无在监项目。</w:t>
      </w:r>
    </w:p>
    <w:p w14:paraId="49232248">
      <w:pPr>
        <w:spacing w:line="360" w:lineRule="auto"/>
        <w:ind w:left="0" w:leftChars="0" w:firstLine="0" w:firstLineChars="0"/>
        <w:rPr>
          <w:rFonts w:hint="eastAsia" w:ascii="宋体" w:hAnsi="宋体"/>
          <w:b/>
          <w:color w:val="auto"/>
          <w:sz w:val="21"/>
          <w:szCs w:val="21"/>
          <w:lang w:eastAsia="zh-CN"/>
        </w:rPr>
      </w:pPr>
      <w:r>
        <w:rPr>
          <w:rFonts w:hint="eastAsia" w:ascii="宋体" w:hAnsi="宋体" w:eastAsia="宋体" w:cs="宋体"/>
          <w:color w:val="auto"/>
          <w:kern w:val="0"/>
          <w:sz w:val="21"/>
          <w:szCs w:val="21"/>
          <w:highlight w:val="none"/>
          <w:lang w:val="en-US" w:eastAsia="zh-CN"/>
        </w:rPr>
        <w:tab/>
      </w:r>
      <w:r>
        <w:rPr>
          <w:rFonts w:hint="eastAsia" w:ascii="宋体" w:hAnsi="宋体" w:eastAsia="宋体" w:cs="宋体"/>
          <w:b/>
          <w:bCs/>
          <w:color w:val="auto"/>
          <w:kern w:val="0"/>
          <w:sz w:val="21"/>
          <w:szCs w:val="21"/>
          <w:highlight w:val="none"/>
          <w:lang w:val="en-US" w:eastAsia="zh-CN"/>
        </w:rPr>
        <w:t>注</w:t>
      </w:r>
      <w:r>
        <w:rPr>
          <w:rFonts w:hint="eastAsia" w:ascii="宋体" w:hAnsi="宋体" w:eastAsia="宋体" w:cs="宋体"/>
          <w:color w:val="auto"/>
          <w:kern w:val="0"/>
          <w:sz w:val="21"/>
          <w:szCs w:val="21"/>
          <w:highlight w:val="none"/>
          <w:lang w:val="en-US" w:eastAsia="zh-CN"/>
        </w:rPr>
        <w:t>：根据</w:t>
      </w:r>
      <w:r>
        <w:rPr>
          <w:rFonts w:hint="eastAsia" w:ascii="宋体" w:hAnsi="宋体" w:eastAsia="宋体" w:cs="宋体"/>
          <w:color w:val="auto"/>
          <w:kern w:val="0"/>
          <w:sz w:val="21"/>
          <w:szCs w:val="21"/>
          <w:highlight w:val="none"/>
          <w:lang w:val="en-US" w:eastAsia="zh-CN"/>
        </w:rPr>
        <w:fldChar w:fldCharType="begin"/>
      </w:r>
      <w:r>
        <w:rPr>
          <w:rFonts w:hint="eastAsia" w:ascii="宋体" w:hAnsi="宋体" w:eastAsia="宋体" w:cs="宋体"/>
          <w:color w:val="auto"/>
          <w:kern w:val="0"/>
          <w:sz w:val="21"/>
          <w:szCs w:val="21"/>
          <w:highlight w:val="none"/>
          <w:lang w:val="en-US" w:eastAsia="zh-CN"/>
        </w:rPr>
        <w:instrText xml:space="preserve"> HYPERLINK "http://zjt.hunan.gov.cn/zjt/c101183/c101185/202105/21314762/files/076ea806df654c038effca111fb552a0.doc" \t "http://zjt.hunan.gov.cn/zjt/c101183/c101185/202105/_blank" </w:instrText>
      </w:r>
      <w:r>
        <w:rPr>
          <w:rFonts w:hint="eastAsia" w:ascii="宋体" w:hAnsi="宋体" w:eastAsia="宋体" w:cs="宋体"/>
          <w:color w:val="auto"/>
          <w:kern w:val="0"/>
          <w:sz w:val="21"/>
          <w:szCs w:val="21"/>
          <w:highlight w:val="none"/>
          <w:lang w:val="en-US" w:eastAsia="zh-CN"/>
        </w:rPr>
        <w:fldChar w:fldCharType="separate"/>
      </w:r>
      <w:r>
        <w:rPr>
          <w:rFonts w:hint="eastAsia" w:ascii="宋体" w:hAnsi="宋体" w:eastAsia="宋体" w:cs="宋体"/>
          <w:color w:val="auto"/>
          <w:kern w:val="0"/>
          <w:sz w:val="21"/>
          <w:szCs w:val="21"/>
          <w:highlight w:val="none"/>
          <w:lang w:val="en-US" w:eastAsia="zh-CN"/>
        </w:rPr>
        <w:t>湘建建〔2020〕208号</w:t>
      </w:r>
      <w:r>
        <w:rPr>
          <w:rFonts w:hint="eastAsia" w:ascii="宋体" w:hAnsi="宋体" w:eastAsia="宋体" w:cs="宋体"/>
          <w:color w:val="auto"/>
          <w:kern w:val="0"/>
          <w:sz w:val="21"/>
          <w:szCs w:val="21"/>
          <w:highlight w:val="none"/>
          <w:lang w:val="en-US" w:eastAsia="zh-CN"/>
        </w:rPr>
        <w:fldChar w:fldCharType="end"/>
      </w:r>
      <w:r>
        <w:rPr>
          <w:rFonts w:hint="eastAsia" w:ascii="宋体" w:hAnsi="宋体" w:eastAsia="宋体" w:cs="宋体"/>
          <w:color w:val="auto"/>
          <w:kern w:val="0"/>
          <w:sz w:val="21"/>
          <w:szCs w:val="21"/>
          <w:highlight w:val="none"/>
          <w:lang w:val="en-US" w:eastAsia="zh-CN"/>
        </w:rPr>
        <w:t>文[湖南省住房和城乡建设厅关于印发《湖南省建筑工程施工项目部和现场监理部关键岗位人员配备管理办法》的要求，不得少于总监理工程师1人、专业监理工程师1人，监理员1人。投标人须在投标文件中提供现场监理部关键岗位人员配备的书面承诺，在工程实施时根据项目需要配备到位，并及时到建设行政主管部门备案。</w:t>
      </w:r>
    </w:p>
    <w:p w14:paraId="7933B847">
      <w:pPr>
        <w:adjustRightInd w:val="0"/>
        <w:snapToGrid w:val="0"/>
        <w:spacing w:before="156" w:beforeLines="50" w:line="360" w:lineRule="auto"/>
        <w:ind w:firstLine="420" w:firstLineChars="200"/>
        <w:rPr>
          <w:rFonts w:hint="eastAsia" w:ascii="宋体" w:hAnsi="宋体" w:eastAsia="宋体" w:cs="Times New Roman"/>
          <w:color w:val="auto"/>
          <w:szCs w:val="21"/>
          <w:lang w:val="en-US" w:eastAsia="zh-CN"/>
        </w:rPr>
        <w:sectPr>
          <w:pgSz w:w="11900" w:h="16840"/>
          <w:pgMar w:top="1440" w:right="1300" w:bottom="1440" w:left="1300" w:header="0" w:footer="1440" w:gutter="0"/>
          <w:cols w:space="720" w:num="1"/>
          <w:titlePg/>
          <w:docGrid w:type="lines" w:linePitch="312" w:charSpace="0"/>
        </w:sectPr>
      </w:pPr>
      <w:bookmarkStart w:id="66" w:name="_Toc17069"/>
      <w:r>
        <w:rPr>
          <w:rFonts w:hint="eastAsia" w:ascii="宋体" w:hAnsi="宋体" w:eastAsia="宋体" w:cs="Times New Roman"/>
          <w:color w:val="auto"/>
          <w:szCs w:val="21"/>
          <w:lang w:val="en-US" w:eastAsia="zh-CN"/>
        </w:rPr>
        <mc:AlternateContent>
          <mc:Choice Requires="wps">
            <w:drawing>
              <wp:anchor distT="0" distB="0" distL="114300" distR="114300" simplePos="0" relativeHeight="251659264" behindDoc="0" locked="0" layoutInCell="1" allowOverlap="1">
                <wp:simplePos x="0" y="0"/>
                <wp:positionH relativeFrom="page">
                  <wp:posOffset>863600</wp:posOffset>
                </wp:positionH>
                <wp:positionV relativeFrom="paragraph">
                  <wp:posOffset>723900</wp:posOffset>
                </wp:positionV>
                <wp:extent cx="5854700" cy="381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14:paraId="73F07D77">
                            <w:pPr>
                              <w:ind w:firstLine="0"/>
                              <w:jc w:val="both"/>
                            </w:pPr>
                            <w:r>
                              <w:pict>
                                <v:rect id="_x0000_i1025" o:spt="1" style="height:1.5pt;width:459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_x0000_s1026" o:spid="_x0000_s1026" o:spt="202" type="#_x0000_t202" style="position:absolute;left:0pt;margin-left:68pt;margin-top:57pt;height:3pt;width:461pt;mso-position-horizontal-relative:page;z-index:251659264;mso-width-relative:page;mso-height-relative:page;" filled="f" stroked="f" coordsize="21600,21600" o:gfxdata="UEsDBAoAAAAAAIdO4kAAAAAAAAAAAAAAAAAEAAAAZHJzL1BLAwQUAAAACACHTuJAKgJle9cAAAAM&#10;AQAADwAAAGRycy9kb3ducmV2LnhtbE2PzU7DMBCE70i8g7VI3KgdoFUU4lSAhCiil5a/qxsvcUS8&#10;jmK3Sd+e7Qlu32hHM7PlcvKdOOAQ20AaspkCgVQH21Kj4f3t6SoHEZMha7pAqOGIEZbV+VlpChtG&#10;2uBhmxrBIRQLo8Gl1BdSxtqhN3EWeiS+fYfBm8RyaKQdzMjhvpPXSi2kNy1xgzM9Pjqsf7Z7r+Eh&#10;f16N9x9fr5Obbz5fMoqr4zpqfXmRqTsQCaf0Z4bTfJ4OFW/ahT3ZKDrWNwv+JTFktwwnh5rnTDsm&#10;rgZZlfL/E9UvUEsDBBQAAAAIAIdO4kCELdQw3QEAAKwDAAAOAAAAZHJzL2Uyb0RvYy54bWytU0tu&#10;2zAQ3RfoHQjua/1ipRYsBy2MFAWKtkDaA9AUaRHgDyRtyRdob9BVN933XD5HhpTiBOkmi24ozszj&#10;47zH0fpmVBIdmfPC6BYXixwjpqnphN63+Pu32zdvMfKB6I5Io1mLT8zjm83rV+vBNqw0vZEdcwhI&#10;tG8G2+I+BNtkmac9U8QvjGUaitw4RQKEbp91jgzArmRW5nmdDcZ11hnKvIfsdirimdG9hNBwLijb&#10;GnpQTIeJ1TFJAkjyvbAeb1K3nDMavnDuWUCyxaA0pBUugf0urtlmTZq9I7YXdG6BvKSFZ5oUERou&#10;vVBtSSDo4MQ/VEpQZ7zhYUGNyiYhyRFQUeTPvLnriWVJC1jt7cV0//9o6efjV4dE1+ISI00UPPj5&#10;18/z77/nPz9QGe0ZrG8AdWcBF8b3ZoShech7SEbVI3cqfkEPivU6L66uweIT0BbVqiqWk9FsDIgC&#10;AJLlql5iRAFRVdd1uUqI7JHKOh8+MKNQ3LTYwUsmg8nxkw/QFkAfIPFmbW6FlOk1pUZDi+tqmacD&#10;lwqckDpiWZqLmSbKm2TEXRh346x5Z7oTSJYfNdhdLq/yOD4pgI17mt3N2amPd4dguEgtRsaJBvqN&#10;ATxi6nweuDglT+OEevzJNv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qAmV71wAAAAwBAAAPAAAA&#10;AAAAAAEAIAAAACIAAABkcnMvZG93bnJldi54bWxQSwECFAAUAAAACACHTuJAhC3UMN0BAACsAwAA&#10;DgAAAAAAAAABACAAAAAmAQAAZHJzL2Uyb0RvYy54bWxQSwUGAAAAAAYABgBZAQAAdQUAAAAA&#10;">
                <v:fill on="f" focussize="0,0"/>
                <v:stroke on="f" weight="0.5pt"/>
                <v:imagedata o:title=""/>
                <o:lock v:ext="edit" aspectratio="f"/>
                <v:textbox inset="2pt,0mm,2pt,0mm">
                  <w:txbxContent>
                    <w:p w14:paraId="73F07D77">
                      <w:pPr>
                        <w:ind w:firstLine="0"/>
                        <w:jc w:val="both"/>
                      </w:pPr>
                      <w:r>
                        <w:pict>
                          <v:rect id="_x0000_i1025" o:spt="1" style="height:1.5pt;width:459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p>
    <w:p w14:paraId="3C1BDB51">
      <w:pPr>
        <w:adjustRightInd w:val="0"/>
        <w:snapToGrid w:val="0"/>
        <w:spacing w:before="156" w:beforeLines="50" w:line="360" w:lineRule="auto"/>
        <w:ind w:firstLine="602" w:firstLineChars="200"/>
        <w:jc w:val="center"/>
        <w:rPr>
          <w:rFonts w:ascii="黑体" w:hAnsi="黑体" w:eastAsia="黑体"/>
          <w:b/>
          <w:bCs/>
          <w:color w:val="auto"/>
          <w:sz w:val="30"/>
          <w:szCs w:val="30"/>
          <w:highlight w:val="yellow"/>
        </w:rPr>
      </w:pPr>
      <w:r>
        <w:rPr>
          <w:rFonts w:hint="eastAsia" w:ascii="宋体" w:hAnsi="宋体" w:eastAsia="宋体" w:cs="Times New Roman"/>
          <w:b/>
          <w:bCs/>
          <w:color w:val="auto"/>
          <w:sz w:val="30"/>
          <w:szCs w:val="30"/>
          <w:lang w:val="en-US" w:eastAsia="zh-CN"/>
        </w:rPr>
        <w:t>第</w:t>
      </w:r>
      <w:r>
        <w:rPr>
          <w:rFonts w:hint="eastAsia" w:ascii="宋体" w:hAnsi="宋体" w:cs="Times New Roman"/>
          <w:b/>
          <w:bCs/>
          <w:color w:val="auto"/>
          <w:sz w:val="30"/>
          <w:szCs w:val="30"/>
          <w:lang w:val="en-US" w:eastAsia="zh-CN"/>
        </w:rPr>
        <w:t>二</w:t>
      </w:r>
      <w:r>
        <w:rPr>
          <w:rFonts w:hint="eastAsia" w:ascii="宋体" w:hAnsi="宋体" w:eastAsia="宋体" w:cs="Times New Roman"/>
          <w:b/>
          <w:bCs/>
          <w:color w:val="auto"/>
          <w:sz w:val="30"/>
          <w:szCs w:val="30"/>
          <w:lang w:val="en-US" w:eastAsia="zh-CN"/>
        </w:rPr>
        <w:t>节 商务要求</w:t>
      </w:r>
      <w:bookmarkEnd w:id="66"/>
    </w:p>
    <w:p w14:paraId="707E4BD4">
      <w:pPr>
        <w:adjustRightInd w:val="0"/>
        <w:snapToGrid w:val="0"/>
        <w:spacing w:line="360" w:lineRule="auto"/>
        <w:ind w:firstLine="422" w:firstLineChars="200"/>
        <w:rPr>
          <w:rFonts w:ascii="宋体" w:hAnsi="宋体" w:cs="宋体"/>
          <w:b/>
          <w:bCs/>
          <w:color w:val="auto"/>
          <w:szCs w:val="21"/>
        </w:rPr>
      </w:pPr>
      <w:bookmarkStart w:id="67" w:name="_Toc3995"/>
      <w:r>
        <w:rPr>
          <w:rFonts w:hint="eastAsia" w:ascii="宋体" w:hAnsi="宋体" w:cs="宋体"/>
          <w:b/>
          <w:color w:val="auto"/>
          <w:szCs w:val="21"/>
          <w:lang w:eastAsia="zh-CN"/>
        </w:rPr>
        <w:t>一</w:t>
      </w:r>
      <w:r>
        <w:rPr>
          <w:rFonts w:hint="eastAsia" w:ascii="宋体" w:hAnsi="宋体" w:cs="宋体"/>
          <w:b/>
          <w:color w:val="auto"/>
          <w:szCs w:val="21"/>
        </w:rPr>
        <w:t>、</w:t>
      </w:r>
      <w:r>
        <w:rPr>
          <w:rFonts w:hint="eastAsia" w:ascii="宋体" w:hAnsi="宋体" w:cs="宋体"/>
          <w:b/>
          <w:color w:val="auto"/>
          <w:szCs w:val="21"/>
          <w:lang w:eastAsia="zh-CN"/>
        </w:rPr>
        <w:t>服务期限</w:t>
      </w:r>
      <w:r>
        <w:rPr>
          <w:rFonts w:ascii="宋体" w:hAnsi="宋体" w:cs="宋体"/>
          <w:b/>
          <w:color w:val="auto"/>
          <w:szCs w:val="21"/>
        </w:rPr>
        <w:t>和地点：</w:t>
      </w:r>
    </w:p>
    <w:p w14:paraId="55E45BBD">
      <w:pPr>
        <w:widowControl/>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1.1.服务期限：包括但不限于施工准备阶段开始至缺陷责任期结束,具体服务期须配合施工，以合同为准；</w:t>
      </w:r>
    </w:p>
    <w:p w14:paraId="4208A99C">
      <w:pPr>
        <w:widowControl/>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1.2.项目地点：</w:t>
      </w:r>
      <w:r>
        <w:rPr>
          <w:rFonts w:hint="eastAsia" w:ascii="宋体" w:hAnsi="宋体" w:cs="宋体"/>
          <w:color w:val="auto"/>
          <w:sz w:val="21"/>
          <w:szCs w:val="21"/>
          <w:lang w:val="en-US" w:eastAsia="zh-CN"/>
        </w:rPr>
        <w:t>娄底市万宝新区，地处新农路以东、富厚街以南、天华路以西、百宝街以北</w:t>
      </w:r>
      <w:r>
        <w:rPr>
          <w:rFonts w:hint="eastAsia" w:ascii="宋体" w:hAnsi="宋体" w:eastAsia="宋体" w:cs="宋体"/>
          <w:color w:val="auto"/>
          <w:sz w:val="21"/>
          <w:szCs w:val="21"/>
          <w:lang w:val="en-US" w:eastAsia="zh-CN"/>
        </w:rPr>
        <w:t>。</w:t>
      </w:r>
    </w:p>
    <w:p w14:paraId="5C127060">
      <w:pPr>
        <w:spacing w:line="472" w:lineRule="exact"/>
        <w:ind w:firstLine="422" w:firstLineChars="200"/>
        <w:rPr>
          <w:rFonts w:hint="eastAsia" w:ascii="宋体" w:hAnsi="宋体" w:cs="宋体"/>
          <w:b/>
          <w:bCs/>
          <w:color w:val="auto"/>
          <w:szCs w:val="21"/>
        </w:rPr>
      </w:pPr>
      <w:r>
        <w:rPr>
          <w:rFonts w:hint="eastAsia" w:ascii="宋体" w:hAnsi="宋体" w:cs="宋体"/>
          <w:b/>
          <w:bCs/>
          <w:color w:val="auto"/>
          <w:szCs w:val="21"/>
          <w:lang w:eastAsia="zh-CN"/>
        </w:rPr>
        <w:t>二</w:t>
      </w:r>
      <w:r>
        <w:rPr>
          <w:rFonts w:hint="eastAsia" w:ascii="宋体" w:hAnsi="宋体" w:cs="宋体"/>
          <w:b/>
          <w:bCs/>
          <w:color w:val="auto"/>
          <w:szCs w:val="21"/>
        </w:rPr>
        <w:t>、报价要求</w:t>
      </w:r>
    </w:p>
    <w:p w14:paraId="614F54B3">
      <w:pPr>
        <w:widowControl/>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报价包含为完成本次采购内容的所有费用，包括但不限于人工费、材料费、机械费、工具费、装备费、办公费、通讯费、交通费、耗材费、保险、管理费、利润、税金等以及完成本项目所需的其他不可预见的一切费用；人员工资</w:t>
      </w:r>
      <w:r>
        <w:rPr>
          <w:rFonts w:hint="eastAsia" w:ascii="宋体" w:hAnsi="宋体" w:cs="宋体"/>
          <w:color w:val="auto"/>
          <w:sz w:val="21"/>
          <w:szCs w:val="21"/>
          <w:lang w:val="en-US" w:eastAsia="zh-CN"/>
        </w:rPr>
        <w:t>满足</w:t>
      </w:r>
      <w:r>
        <w:rPr>
          <w:rFonts w:hint="eastAsia" w:ascii="宋体" w:hAnsi="宋体" w:eastAsia="宋体" w:cs="宋体"/>
          <w:color w:val="auto"/>
          <w:sz w:val="21"/>
          <w:szCs w:val="21"/>
          <w:lang w:val="en-US" w:eastAsia="zh-CN"/>
        </w:rPr>
        <w:t>项目所在地行政区当年度最低工资标准，并符合社保缴纳规定。</w:t>
      </w:r>
    </w:p>
    <w:p w14:paraId="5D693929">
      <w:pPr>
        <w:widowControl/>
        <w:spacing w:line="360" w:lineRule="auto"/>
        <w:ind w:firstLine="42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1"/>
          <w:szCs w:val="21"/>
          <w:lang w:val="en-US" w:eastAsia="zh-CN"/>
        </w:rPr>
        <w:t>2、评标委员会认为投标人的报价明显低于其他通过符合性审查投标人的报价，有可能影响产品质量或者不能诚信履约的，应当要求其在评标过程中规定的合理时间内，提供书面说明，必要时提交相关证明材料；投标人不能证明其报价合理性的，评标委员会应当将其作为无效投标处理。</w:t>
      </w:r>
    </w:p>
    <w:p w14:paraId="0F9F6795">
      <w:pPr>
        <w:spacing w:line="472" w:lineRule="exact"/>
        <w:ind w:firstLine="422" w:firstLineChars="200"/>
        <w:rPr>
          <w:rFonts w:hint="default" w:ascii="宋体" w:hAnsi="宋体" w:cs="宋体"/>
          <w:b/>
          <w:bCs/>
          <w:color w:val="auto"/>
          <w:szCs w:val="21"/>
          <w:lang w:val="en-US" w:eastAsia="zh-CN"/>
        </w:rPr>
      </w:pPr>
      <w:bookmarkStart w:id="68" w:name="付款方式"/>
      <w:r>
        <w:rPr>
          <w:rFonts w:hint="eastAsia" w:ascii="宋体" w:hAnsi="宋体" w:cs="宋体"/>
          <w:b/>
          <w:bCs/>
          <w:color w:val="auto"/>
          <w:szCs w:val="21"/>
          <w:lang w:val="en-US" w:eastAsia="zh-CN"/>
        </w:rPr>
        <w:t>三、付款方式：</w:t>
      </w:r>
      <w:bookmarkEnd w:id="68"/>
      <w:r>
        <w:rPr>
          <w:rFonts w:hint="eastAsia" w:ascii="宋体" w:hAnsi="宋体" w:cs="宋体"/>
          <w:b/>
          <w:bCs/>
          <w:color w:val="auto"/>
          <w:szCs w:val="21"/>
          <w:lang w:val="en-US" w:eastAsia="zh-CN"/>
        </w:rPr>
        <w:t>签订合同时约定。</w:t>
      </w:r>
    </w:p>
    <w:p w14:paraId="03037EBA">
      <w:pPr>
        <w:widowControl/>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合同价格形式：单价/总价合同。供应商应根据项目要求和实际情况进行报价，如一旦中标，在项目实施中出现任何遗漏，均由成交供应商免费提供，采购人不再支付其他任何费用。</w:t>
      </w:r>
    </w:p>
    <w:p w14:paraId="1DE8EC5E">
      <w:pPr>
        <w:spacing w:line="472" w:lineRule="exact"/>
        <w:ind w:firstLine="422" w:firstLineChars="200"/>
        <w:rPr>
          <w:rFonts w:hint="eastAsia" w:ascii="宋体" w:hAnsi="宋体" w:cs="宋体"/>
          <w:b/>
          <w:bCs/>
          <w:color w:val="auto"/>
          <w:szCs w:val="21"/>
        </w:rPr>
      </w:pPr>
      <w:r>
        <w:rPr>
          <w:rFonts w:hint="eastAsia" w:ascii="宋体" w:hAnsi="宋体" w:cs="宋体"/>
          <w:b/>
          <w:bCs/>
          <w:color w:val="auto"/>
          <w:szCs w:val="21"/>
          <w:lang w:eastAsia="zh-CN"/>
        </w:rPr>
        <w:t>四</w:t>
      </w:r>
      <w:r>
        <w:rPr>
          <w:rFonts w:hint="eastAsia" w:ascii="宋体" w:hAnsi="宋体" w:cs="宋体"/>
          <w:b/>
          <w:bCs/>
          <w:color w:val="auto"/>
          <w:szCs w:val="21"/>
        </w:rPr>
        <w:t>、其它要求</w:t>
      </w:r>
    </w:p>
    <w:bookmarkEnd w:id="67"/>
    <w:p w14:paraId="4ABDD8C7">
      <w:pPr>
        <w:widowControl/>
        <w:spacing w:line="360" w:lineRule="auto"/>
        <w:ind w:firstLine="420" w:firstLineChars="200"/>
        <w:rPr>
          <w:rFonts w:hint="eastAsia" w:ascii="宋体" w:hAnsi="宋体" w:eastAsia="宋体" w:cs="宋体"/>
          <w:color w:val="auto"/>
          <w:sz w:val="21"/>
          <w:szCs w:val="21"/>
        </w:rPr>
      </w:pPr>
      <w:bookmarkStart w:id="69" w:name="_Toc21574"/>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投资控制目标：不超过工程概算。</w:t>
      </w:r>
    </w:p>
    <w:p w14:paraId="1C3C9D3F">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进度控制目标：根据施工进度要求及网络计划实施进度控制。</w:t>
      </w:r>
    </w:p>
    <w:p w14:paraId="3EB073E2">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质量控制目标：合格。</w:t>
      </w:r>
    </w:p>
    <w:p w14:paraId="6D174A90">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安全文明控制目标：杜绝一切等级以上的伤亡事故且工伤责任事故人数为零。严格执行国家、工程所在地相关政府管理部门有关工程质量和施工安全的操作规程及管理要求。</w:t>
      </w:r>
    </w:p>
    <w:p w14:paraId="55B81DA2">
      <w:pPr>
        <w:widowControl/>
        <w:spacing w:line="360" w:lineRule="auto"/>
        <w:ind w:firstLine="420" w:firstLineChars="200"/>
        <w:rPr>
          <w:rFonts w:ascii="宋体" w:hAnsi="宋体" w:cs="宋体"/>
          <w:color w:val="auto"/>
          <w:kern w:val="0"/>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廉洁控制目标：项目中不发生不廉洁事件。</w:t>
      </w:r>
    </w:p>
    <w:p w14:paraId="7A9A4AB2">
      <w:pPr>
        <w:pStyle w:val="30"/>
        <w:rPr>
          <w:rFonts w:hint="eastAsia" w:ascii="黑体" w:hAnsi="华文中宋" w:eastAsia="黑体"/>
          <w:b/>
          <w:color w:val="auto"/>
          <w:sz w:val="32"/>
          <w:szCs w:val="32"/>
        </w:rPr>
      </w:pPr>
    </w:p>
    <w:p w14:paraId="1A30CED0">
      <w:pPr>
        <w:pStyle w:val="30"/>
        <w:ind w:left="0" w:leftChars="0" w:firstLine="964" w:firstLineChars="400"/>
        <w:rPr>
          <w:rFonts w:hint="eastAsia" w:ascii="黑体" w:hAnsi="华文中宋" w:eastAsia="黑体"/>
          <w:b/>
          <w:color w:val="auto"/>
          <w:sz w:val="32"/>
          <w:szCs w:val="32"/>
        </w:rPr>
      </w:pPr>
      <w:r>
        <w:rPr>
          <w:rFonts w:hint="eastAsia" w:ascii="宋体" w:hAnsi="宋体"/>
          <w:b/>
          <w:color w:val="auto"/>
          <w:kern w:val="0"/>
          <w:sz w:val="24"/>
          <w:szCs w:val="21"/>
        </w:rPr>
        <w:t>对于上述项目要求，</w:t>
      </w:r>
      <w:r>
        <w:rPr>
          <w:rFonts w:hint="eastAsia" w:ascii="宋体" w:hAnsi="宋体"/>
          <w:b/>
          <w:color w:val="auto"/>
          <w:kern w:val="0"/>
          <w:sz w:val="24"/>
          <w:szCs w:val="21"/>
          <w:lang w:eastAsia="zh-CN"/>
        </w:rPr>
        <w:t>供应商</w:t>
      </w:r>
      <w:r>
        <w:rPr>
          <w:rFonts w:hint="eastAsia" w:ascii="宋体" w:hAnsi="宋体"/>
          <w:b/>
          <w:color w:val="auto"/>
          <w:kern w:val="0"/>
          <w:sz w:val="24"/>
          <w:szCs w:val="21"/>
        </w:rPr>
        <w:t>应在</w:t>
      </w:r>
      <w:r>
        <w:rPr>
          <w:rFonts w:hint="eastAsia" w:ascii="宋体" w:hAnsi="宋体"/>
          <w:b/>
          <w:color w:val="auto"/>
          <w:kern w:val="0"/>
          <w:sz w:val="24"/>
          <w:szCs w:val="21"/>
          <w:lang w:eastAsia="zh-CN"/>
        </w:rPr>
        <w:t>响应</w:t>
      </w:r>
      <w:r>
        <w:rPr>
          <w:rFonts w:hint="eastAsia" w:ascii="宋体" w:hAnsi="宋体"/>
          <w:b/>
          <w:color w:val="auto"/>
          <w:kern w:val="0"/>
          <w:sz w:val="24"/>
          <w:szCs w:val="21"/>
        </w:rPr>
        <w:t>文件中进行回应，作出承诺及说明。</w:t>
      </w:r>
    </w:p>
    <w:p w14:paraId="0B9B6142">
      <w:pPr>
        <w:pStyle w:val="30"/>
        <w:ind w:left="0" w:leftChars="0" w:firstLine="0" w:firstLineChars="0"/>
        <w:rPr>
          <w:rFonts w:hint="eastAsia" w:ascii="黑体" w:hAnsi="华文中宋" w:eastAsia="黑体"/>
          <w:b/>
          <w:color w:val="auto"/>
          <w:sz w:val="32"/>
          <w:szCs w:val="32"/>
        </w:rPr>
      </w:pPr>
    </w:p>
    <w:p w14:paraId="288C1B04">
      <w:pPr>
        <w:pStyle w:val="30"/>
        <w:ind w:left="0" w:leftChars="0" w:firstLine="0" w:firstLineChars="0"/>
        <w:rPr>
          <w:rFonts w:hint="eastAsia" w:ascii="黑体" w:hAnsi="华文中宋" w:eastAsia="黑体"/>
          <w:b/>
          <w:color w:val="auto"/>
          <w:sz w:val="32"/>
          <w:szCs w:val="32"/>
        </w:rPr>
      </w:pPr>
    </w:p>
    <w:p w14:paraId="05FE9286">
      <w:pPr>
        <w:pStyle w:val="4"/>
        <w:bidi w:val="0"/>
        <w:rPr>
          <w:rFonts w:hint="eastAsia"/>
          <w:color w:val="auto"/>
        </w:rPr>
      </w:pPr>
      <w:bookmarkStart w:id="70" w:name="_Toc1202"/>
      <w:bookmarkStart w:id="71" w:name="_Toc22681"/>
      <w:r>
        <w:rPr>
          <w:rFonts w:hint="eastAsia"/>
          <w:color w:val="auto"/>
        </w:rPr>
        <w:t>第六章</w:t>
      </w:r>
      <w:r>
        <w:rPr>
          <w:rFonts w:hint="eastAsia"/>
          <w:color w:val="auto"/>
          <w:lang w:val="en-US" w:eastAsia="zh-CN"/>
        </w:rPr>
        <w:t xml:space="preserve"> </w:t>
      </w:r>
      <w:r>
        <w:rPr>
          <w:rFonts w:hint="eastAsia"/>
          <w:color w:val="auto"/>
        </w:rPr>
        <w:t>合同</w:t>
      </w:r>
      <w:bookmarkEnd w:id="70"/>
      <w:bookmarkEnd w:id="71"/>
    </w:p>
    <w:p w14:paraId="302DC136">
      <w:pPr>
        <w:pStyle w:val="3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采购人应自中标结果公示</w:t>
      </w:r>
      <w:r>
        <w:rPr>
          <w:rFonts w:hint="eastAsia" w:ascii="宋体" w:hAnsi="宋体" w:cs="Times New Roman"/>
          <w:color w:val="auto"/>
          <w:kern w:val="2"/>
          <w:sz w:val="21"/>
          <w:szCs w:val="21"/>
          <w:lang w:val="en-US" w:eastAsia="zh-CN" w:bidi="ar-SA"/>
        </w:rPr>
        <w:t>结束</w:t>
      </w:r>
      <w:r>
        <w:rPr>
          <w:rFonts w:hint="eastAsia" w:ascii="宋体" w:hAnsi="宋体" w:eastAsia="宋体" w:cs="Times New Roman"/>
          <w:color w:val="auto"/>
          <w:kern w:val="2"/>
          <w:sz w:val="21"/>
          <w:szCs w:val="21"/>
          <w:lang w:val="en-US" w:eastAsia="zh-CN" w:bidi="ar-SA"/>
        </w:rPr>
        <w:t>之日起30日内与中标人签订合同。所签订的合同不得对招标文件确定的事项和中标人投标文件作实质性修改。</w:t>
      </w:r>
    </w:p>
    <w:p w14:paraId="2BC0F58C">
      <w:pPr>
        <w:pStyle w:val="30"/>
        <w:rPr>
          <w:rFonts w:hint="eastAsia" w:ascii="黑体" w:hAnsi="华文中宋" w:eastAsia="黑体"/>
          <w:b/>
          <w:color w:val="auto"/>
          <w:sz w:val="32"/>
          <w:szCs w:val="32"/>
        </w:rPr>
      </w:pPr>
    </w:p>
    <w:p w14:paraId="76A0D33C">
      <w:pPr>
        <w:pStyle w:val="30"/>
        <w:rPr>
          <w:rFonts w:hint="eastAsia" w:ascii="黑体" w:hAnsi="华文中宋" w:eastAsia="黑体"/>
          <w:b/>
          <w:color w:val="auto"/>
          <w:sz w:val="32"/>
          <w:szCs w:val="32"/>
        </w:rPr>
      </w:pPr>
    </w:p>
    <w:p w14:paraId="3BAFB37E">
      <w:pPr>
        <w:pStyle w:val="30"/>
        <w:rPr>
          <w:rFonts w:hint="eastAsia" w:ascii="黑体" w:hAnsi="华文中宋" w:eastAsia="黑体"/>
          <w:b/>
          <w:color w:val="auto"/>
          <w:sz w:val="32"/>
          <w:szCs w:val="32"/>
        </w:rPr>
      </w:pPr>
    </w:p>
    <w:p w14:paraId="25BAF9CE">
      <w:pPr>
        <w:pStyle w:val="30"/>
        <w:rPr>
          <w:rFonts w:hint="eastAsia" w:ascii="黑体" w:hAnsi="华文中宋" w:eastAsia="黑体"/>
          <w:b/>
          <w:color w:val="auto"/>
          <w:sz w:val="32"/>
          <w:szCs w:val="32"/>
        </w:rPr>
      </w:pPr>
    </w:p>
    <w:p w14:paraId="7E2EAAA5">
      <w:pPr>
        <w:pStyle w:val="30"/>
        <w:rPr>
          <w:rFonts w:hint="eastAsia" w:ascii="黑体" w:hAnsi="华文中宋" w:eastAsia="黑体"/>
          <w:b/>
          <w:color w:val="auto"/>
          <w:sz w:val="32"/>
          <w:szCs w:val="32"/>
        </w:rPr>
      </w:pPr>
    </w:p>
    <w:p w14:paraId="54979AB1">
      <w:pPr>
        <w:pStyle w:val="30"/>
        <w:rPr>
          <w:rFonts w:hint="eastAsia" w:ascii="黑体" w:hAnsi="华文中宋" w:eastAsia="黑体"/>
          <w:b/>
          <w:color w:val="auto"/>
          <w:sz w:val="32"/>
          <w:szCs w:val="32"/>
        </w:rPr>
      </w:pPr>
    </w:p>
    <w:p w14:paraId="17344401">
      <w:pPr>
        <w:pStyle w:val="30"/>
        <w:rPr>
          <w:rFonts w:hint="eastAsia" w:ascii="黑体" w:hAnsi="华文中宋" w:eastAsia="黑体"/>
          <w:b/>
          <w:color w:val="auto"/>
          <w:sz w:val="32"/>
          <w:szCs w:val="32"/>
        </w:rPr>
      </w:pPr>
    </w:p>
    <w:p w14:paraId="64566555">
      <w:pPr>
        <w:pStyle w:val="30"/>
        <w:rPr>
          <w:rFonts w:hint="eastAsia" w:ascii="黑体" w:hAnsi="华文中宋" w:eastAsia="黑体"/>
          <w:b/>
          <w:color w:val="auto"/>
          <w:sz w:val="32"/>
          <w:szCs w:val="32"/>
        </w:rPr>
      </w:pPr>
    </w:p>
    <w:p w14:paraId="46B50BA3">
      <w:pPr>
        <w:pStyle w:val="30"/>
        <w:rPr>
          <w:rFonts w:hint="eastAsia" w:ascii="黑体" w:hAnsi="华文中宋" w:eastAsia="黑体"/>
          <w:b/>
          <w:color w:val="auto"/>
          <w:sz w:val="32"/>
          <w:szCs w:val="32"/>
        </w:rPr>
      </w:pPr>
    </w:p>
    <w:p w14:paraId="6D4FDFFF">
      <w:pPr>
        <w:pStyle w:val="30"/>
        <w:rPr>
          <w:rFonts w:hint="eastAsia" w:ascii="黑体" w:hAnsi="华文中宋" w:eastAsia="黑体"/>
          <w:b/>
          <w:color w:val="auto"/>
          <w:sz w:val="32"/>
          <w:szCs w:val="32"/>
        </w:rPr>
      </w:pPr>
    </w:p>
    <w:p w14:paraId="2EE9D847">
      <w:pPr>
        <w:pStyle w:val="30"/>
        <w:rPr>
          <w:rFonts w:hint="eastAsia" w:ascii="黑体" w:hAnsi="华文中宋" w:eastAsia="黑体"/>
          <w:b/>
          <w:color w:val="auto"/>
          <w:sz w:val="32"/>
          <w:szCs w:val="32"/>
        </w:rPr>
      </w:pPr>
    </w:p>
    <w:p w14:paraId="4DD0E771">
      <w:pPr>
        <w:pStyle w:val="30"/>
        <w:rPr>
          <w:rFonts w:hint="eastAsia" w:ascii="黑体" w:hAnsi="华文中宋" w:eastAsia="黑体"/>
          <w:b/>
          <w:color w:val="auto"/>
          <w:sz w:val="32"/>
          <w:szCs w:val="32"/>
        </w:rPr>
      </w:pPr>
    </w:p>
    <w:p w14:paraId="6ABE05FA">
      <w:pPr>
        <w:pStyle w:val="30"/>
        <w:rPr>
          <w:rFonts w:hint="eastAsia" w:ascii="黑体" w:hAnsi="华文中宋" w:eastAsia="黑体"/>
          <w:b/>
          <w:color w:val="auto"/>
          <w:sz w:val="32"/>
          <w:szCs w:val="32"/>
        </w:rPr>
      </w:pPr>
    </w:p>
    <w:p w14:paraId="07077849">
      <w:pPr>
        <w:pStyle w:val="30"/>
        <w:rPr>
          <w:rFonts w:hint="eastAsia" w:ascii="黑体" w:hAnsi="华文中宋" w:eastAsia="黑体"/>
          <w:b/>
          <w:color w:val="auto"/>
          <w:sz w:val="32"/>
          <w:szCs w:val="32"/>
        </w:rPr>
      </w:pPr>
    </w:p>
    <w:p w14:paraId="09E1DF16">
      <w:pPr>
        <w:pStyle w:val="30"/>
        <w:rPr>
          <w:rFonts w:hint="eastAsia" w:ascii="黑体" w:hAnsi="华文中宋" w:eastAsia="黑体"/>
          <w:b/>
          <w:color w:val="auto"/>
          <w:sz w:val="32"/>
          <w:szCs w:val="32"/>
        </w:rPr>
      </w:pPr>
    </w:p>
    <w:p w14:paraId="0450179F">
      <w:pPr>
        <w:pStyle w:val="30"/>
        <w:rPr>
          <w:rFonts w:hint="eastAsia" w:ascii="黑体" w:hAnsi="华文中宋" w:eastAsia="黑体"/>
          <w:b/>
          <w:color w:val="auto"/>
          <w:sz w:val="32"/>
          <w:szCs w:val="32"/>
        </w:rPr>
      </w:pPr>
    </w:p>
    <w:p w14:paraId="784D4372">
      <w:pPr>
        <w:pStyle w:val="30"/>
        <w:rPr>
          <w:rFonts w:hint="eastAsia" w:ascii="黑体" w:hAnsi="华文中宋" w:eastAsia="黑体"/>
          <w:b/>
          <w:color w:val="auto"/>
          <w:sz w:val="32"/>
          <w:szCs w:val="32"/>
        </w:rPr>
      </w:pPr>
    </w:p>
    <w:p w14:paraId="7DC4E532">
      <w:pPr>
        <w:pStyle w:val="30"/>
        <w:rPr>
          <w:rFonts w:hint="eastAsia" w:ascii="黑体" w:hAnsi="华文中宋" w:eastAsia="黑体"/>
          <w:b/>
          <w:color w:val="auto"/>
          <w:sz w:val="32"/>
          <w:szCs w:val="32"/>
        </w:rPr>
      </w:pPr>
    </w:p>
    <w:p w14:paraId="36389837">
      <w:pPr>
        <w:pStyle w:val="30"/>
        <w:rPr>
          <w:rFonts w:hint="eastAsia" w:ascii="黑体" w:hAnsi="华文中宋" w:eastAsia="黑体"/>
          <w:b/>
          <w:color w:val="auto"/>
          <w:sz w:val="32"/>
          <w:szCs w:val="32"/>
        </w:rPr>
      </w:pPr>
    </w:p>
    <w:p w14:paraId="300269C2">
      <w:pPr>
        <w:pStyle w:val="30"/>
        <w:rPr>
          <w:rFonts w:hint="eastAsia" w:ascii="黑体" w:hAnsi="华文中宋" w:eastAsia="黑体"/>
          <w:b/>
          <w:color w:val="auto"/>
          <w:sz w:val="32"/>
          <w:szCs w:val="32"/>
        </w:rPr>
      </w:pPr>
    </w:p>
    <w:p w14:paraId="296B60C1">
      <w:pPr>
        <w:pStyle w:val="30"/>
        <w:rPr>
          <w:rFonts w:hint="eastAsia" w:ascii="黑体" w:hAnsi="华文中宋" w:eastAsia="黑体"/>
          <w:b/>
          <w:color w:val="auto"/>
          <w:sz w:val="32"/>
          <w:szCs w:val="32"/>
        </w:rPr>
      </w:pPr>
    </w:p>
    <w:p w14:paraId="3644DE7E">
      <w:pPr>
        <w:pStyle w:val="30"/>
        <w:rPr>
          <w:rFonts w:hint="eastAsia" w:ascii="黑体" w:hAnsi="华文中宋" w:eastAsia="黑体"/>
          <w:b/>
          <w:color w:val="auto"/>
          <w:sz w:val="32"/>
          <w:szCs w:val="32"/>
        </w:rPr>
      </w:pPr>
    </w:p>
    <w:p w14:paraId="67DFFBD2">
      <w:pPr>
        <w:pStyle w:val="30"/>
        <w:rPr>
          <w:rFonts w:hint="eastAsia" w:ascii="黑体" w:hAnsi="华文中宋" w:eastAsia="黑体"/>
          <w:b/>
          <w:color w:val="auto"/>
          <w:sz w:val="32"/>
          <w:szCs w:val="32"/>
        </w:rPr>
      </w:pPr>
    </w:p>
    <w:p w14:paraId="1CF14343">
      <w:pPr>
        <w:pStyle w:val="30"/>
        <w:rPr>
          <w:rFonts w:hint="eastAsia" w:ascii="黑体" w:hAnsi="华文中宋" w:eastAsia="黑体"/>
          <w:b/>
          <w:color w:val="auto"/>
          <w:sz w:val="32"/>
          <w:szCs w:val="32"/>
        </w:rPr>
      </w:pPr>
    </w:p>
    <w:p w14:paraId="48581EC2">
      <w:pPr>
        <w:pStyle w:val="30"/>
        <w:ind w:left="0" w:leftChars="0" w:firstLine="0" w:firstLineChars="0"/>
        <w:rPr>
          <w:rFonts w:hint="eastAsia" w:ascii="黑体" w:hAnsi="华文中宋" w:eastAsia="黑体"/>
          <w:b/>
          <w:color w:val="auto"/>
          <w:sz w:val="32"/>
          <w:szCs w:val="32"/>
        </w:rPr>
      </w:pPr>
    </w:p>
    <w:p w14:paraId="71688630">
      <w:pPr>
        <w:rPr>
          <w:rFonts w:hint="eastAsia"/>
          <w:color w:val="auto"/>
        </w:rPr>
      </w:pPr>
      <w:bookmarkStart w:id="72" w:name="_Toc31352"/>
      <w:bookmarkStart w:id="73" w:name="_Toc28201"/>
      <w:r>
        <w:rPr>
          <w:rFonts w:hint="eastAsia"/>
          <w:color w:val="auto"/>
        </w:rPr>
        <w:br w:type="page"/>
      </w:r>
    </w:p>
    <w:p w14:paraId="2C7AD2B2">
      <w:pPr>
        <w:pStyle w:val="4"/>
        <w:bidi w:val="0"/>
        <w:rPr>
          <w:b/>
          <w:bCs/>
          <w:color w:val="auto"/>
          <w:sz w:val="32"/>
        </w:rPr>
      </w:pPr>
      <w:r>
        <w:rPr>
          <w:rFonts w:hint="eastAsia"/>
          <w:color w:val="auto"/>
        </w:rPr>
        <w:t>第七章 投标文件的组成</w:t>
      </w:r>
      <w:bookmarkEnd w:id="69"/>
      <w:bookmarkEnd w:id="72"/>
      <w:bookmarkEnd w:id="73"/>
    </w:p>
    <w:p w14:paraId="7D2935F2">
      <w:pPr>
        <w:adjustRightInd w:val="0"/>
        <w:snapToGrid w:val="0"/>
        <w:spacing w:before="156" w:beforeLines="50" w:line="360" w:lineRule="auto"/>
        <w:ind w:firstLine="422" w:firstLineChars="200"/>
        <w:rPr>
          <w:rFonts w:ascii="宋体" w:hAnsi="宋体" w:eastAsia="宋体"/>
          <w:b/>
          <w:color w:val="auto"/>
          <w:szCs w:val="21"/>
        </w:rPr>
      </w:pPr>
      <w:r>
        <w:rPr>
          <w:rFonts w:hint="eastAsia" w:ascii="宋体" w:hAnsi="宋体" w:eastAsia="宋体"/>
          <w:b/>
          <w:color w:val="auto"/>
          <w:szCs w:val="21"/>
        </w:rPr>
        <w:t>第一部分 资格证明文件</w:t>
      </w:r>
    </w:p>
    <w:p w14:paraId="2005D559">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eastAsia="宋体"/>
          <w:color w:val="auto"/>
          <w:szCs w:val="21"/>
        </w:rPr>
        <w:t>一、开标一览表</w:t>
      </w:r>
    </w:p>
    <w:p w14:paraId="4AE23B93">
      <w:pPr>
        <w:adjustRightInd w:val="0"/>
        <w:snapToGrid w:val="0"/>
        <w:spacing w:before="156" w:beforeLines="50" w:line="360" w:lineRule="auto"/>
        <w:ind w:firstLine="630" w:firstLineChars="300"/>
        <w:rPr>
          <w:rFonts w:hint="eastAsia" w:ascii="宋体" w:hAnsi="宋体" w:eastAsiaTheme="minorEastAsia"/>
          <w:color w:val="auto"/>
          <w:szCs w:val="21"/>
          <w:lang w:eastAsia="zh-CN"/>
        </w:rPr>
      </w:pPr>
      <w:r>
        <w:rPr>
          <w:rFonts w:hint="eastAsia" w:ascii="宋体" w:hAnsi="宋体"/>
          <w:color w:val="auto"/>
          <w:szCs w:val="21"/>
          <w:lang w:eastAsia="zh-CN"/>
        </w:rPr>
        <w:t>二</w:t>
      </w:r>
      <w:r>
        <w:rPr>
          <w:rFonts w:hint="eastAsia" w:ascii="宋体" w:hAnsi="宋体" w:eastAsia="宋体"/>
          <w:color w:val="auto"/>
          <w:szCs w:val="21"/>
        </w:rPr>
        <w:t>、</w:t>
      </w:r>
      <w:r>
        <w:rPr>
          <w:rFonts w:hint="eastAsia" w:asciiTheme="minorEastAsia" w:hAnsiTheme="minorEastAsia" w:eastAsiaTheme="minorEastAsia"/>
          <w:color w:val="auto"/>
          <w:szCs w:val="21"/>
        </w:rPr>
        <w:t>法定代表人（单位负责人）身份证明或授权委托书</w:t>
      </w:r>
      <w:r>
        <w:rPr>
          <w:rFonts w:hint="eastAsia" w:asciiTheme="minorEastAsia" w:hAnsiTheme="minorEastAsia" w:eastAsiaTheme="minorEastAsia"/>
          <w:color w:val="auto"/>
          <w:szCs w:val="21"/>
          <w:lang w:eastAsia="zh-CN"/>
        </w:rPr>
        <w:t>，</w:t>
      </w:r>
      <w:r>
        <w:rPr>
          <w:rFonts w:hint="eastAsia" w:ascii="宋体" w:hAnsi="宋体"/>
          <w:color w:val="auto"/>
          <w:shd w:val="clear" w:color="auto" w:fill="auto"/>
          <w:lang w:val="en-US" w:eastAsia="zh-CN"/>
        </w:rPr>
        <w:t>授权委托人需提供近6个月的社保缴纳证明。</w:t>
      </w:r>
    </w:p>
    <w:p w14:paraId="4D1ECAC7">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三</w:t>
      </w:r>
      <w:r>
        <w:rPr>
          <w:rFonts w:hint="eastAsia" w:ascii="宋体" w:hAnsi="宋体" w:eastAsia="宋体"/>
          <w:color w:val="auto"/>
          <w:szCs w:val="21"/>
        </w:rPr>
        <w:t>、投标人提供的资格证明文件</w:t>
      </w:r>
    </w:p>
    <w:p w14:paraId="48A40CCB">
      <w:pPr>
        <w:adjustRightInd w:val="0"/>
        <w:snapToGrid w:val="0"/>
        <w:spacing w:before="156" w:beforeLines="50" w:line="360" w:lineRule="auto"/>
        <w:ind w:firstLine="422" w:firstLineChars="200"/>
        <w:rPr>
          <w:rFonts w:ascii="宋体" w:hAnsi="宋体" w:eastAsia="宋体"/>
          <w:b/>
          <w:color w:val="auto"/>
          <w:szCs w:val="21"/>
        </w:rPr>
      </w:pPr>
      <w:r>
        <w:rPr>
          <w:rFonts w:hint="eastAsia" w:ascii="宋体" w:hAnsi="宋体" w:eastAsia="宋体"/>
          <w:b/>
          <w:color w:val="auto"/>
          <w:szCs w:val="21"/>
        </w:rPr>
        <w:t>第二部分 商务技术文件</w:t>
      </w:r>
    </w:p>
    <w:p w14:paraId="15E2E4C1">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四</w:t>
      </w:r>
      <w:r>
        <w:rPr>
          <w:rFonts w:hint="eastAsia" w:ascii="宋体" w:hAnsi="宋体" w:eastAsia="宋体"/>
          <w:color w:val="auto"/>
          <w:szCs w:val="21"/>
        </w:rPr>
        <w:t>、投标函</w:t>
      </w:r>
    </w:p>
    <w:p w14:paraId="64B378B2">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五</w:t>
      </w:r>
      <w:r>
        <w:rPr>
          <w:rFonts w:hint="eastAsia" w:ascii="宋体" w:hAnsi="宋体" w:eastAsia="宋体"/>
          <w:color w:val="auto"/>
          <w:szCs w:val="21"/>
        </w:rPr>
        <w:t>、分项报价</w:t>
      </w:r>
    </w:p>
    <w:p w14:paraId="42DBEBE6">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六</w:t>
      </w:r>
      <w:r>
        <w:rPr>
          <w:rFonts w:hint="eastAsia" w:ascii="宋体" w:hAnsi="宋体" w:eastAsia="宋体"/>
          <w:color w:val="auto"/>
          <w:szCs w:val="21"/>
        </w:rPr>
        <w:t>、采购需求响应</w:t>
      </w:r>
    </w:p>
    <w:p w14:paraId="1CD4AC0B">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七</w:t>
      </w:r>
      <w:r>
        <w:rPr>
          <w:rFonts w:hint="eastAsia" w:ascii="宋体" w:hAnsi="宋体" w:eastAsia="宋体"/>
          <w:color w:val="auto"/>
          <w:szCs w:val="21"/>
        </w:rPr>
        <w:t>、</w:t>
      </w:r>
      <w:r>
        <w:rPr>
          <w:rFonts w:hint="eastAsia" w:ascii="宋体" w:hAnsi="宋体"/>
          <w:color w:val="auto"/>
          <w:szCs w:val="21"/>
          <w:lang w:eastAsia="zh-CN"/>
        </w:rPr>
        <w:t>采购需求</w:t>
      </w:r>
      <w:r>
        <w:rPr>
          <w:rFonts w:hint="eastAsia" w:ascii="宋体" w:hAnsi="宋体" w:eastAsia="宋体"/>
          <w:color w:val="auto"/>
          <w:szCs w:val="21"/>
        </w:rPr>
        <w:t>偏离表</w:t>
      </w:r>
    </w:p>
    <w:p w14:paraId="739F70F8">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八</w:t>
      </w:r>
      <w:r>
        <w:rPr>
          <w:rFonts w:hint="eastAsia" w:ascii="宋体" w:hAnsi="宋体" w:eastAsia="宋体"/>
          <w:color w:val="auto"/>
          <w:szCs w:val="21"/>
        </w:rPr>
        <w:t>、招标文件规定的证明文件</w:t>
      </w:r>
    </w:p>
    <w:p w14:paraId="173638AE">
      <w:pPr>
        <w:adjustRightInd w:val="0"/>
        <w:snapToGrid w:val="0"/>
        <w:spacing w:before="156" w:beforeLines="50" w:line="360" w:lineRule="auto"/>
        <w:ind w:firstLine="630" w:firstLineChars="300"/>
        <w:rPr>
          <w:rFonts w:ascii="宋体" w:hAnsi="宋体" w:eastAsia="宋体"/>
          <w:color w:val="auto"/>
          <w:szCs w:val="21"/>
        </w:rPr>
      </w:pPr>
      <w:r>
        <w:rPr>
          <w:rFonts w:hint="eastAsia" w:ascii="宋体" w:hAnsi="宋体"/>
          <w:color w:val="auto"/>
          <w:szCs w:val="21"/>
          <w:lang w:eastAsia="zh-CN"/>
        </w:rPr>
        <w:t>九</w:t>
      </w:r>
      <w:r>
        <w:rPr>
          <w:rFonts w:hint="eastAsia" w:ascii="宋体" w:hAnsi="宋体" w:eastAsia="宋体"/>
          <w:color w:val="auto"/>
          <w:szCs w:val="21"/>
        </w:rPr>
        <w:t>、投标人认为需提供的其他资料</w:t>
      </w:r>
    </w:p>
    <w:p w14:paraId="5FDA47EA">
      <w:pPr>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注：投标人可编制资格审查索引表、符合性审查索引表、评审索引表，以便评标委员会评审。</w:t>
      </w:r>
    </w:p>
    <w:p w14:paraId="710D604B">
      <w:pPr>
        <w:adjustRightInd w:val="0"/>
        <w:snapToGrid w:val="0"/>
        <w:spacing w:before="156" w:beforeLines="50" w:line="360" w:lineRule="auto"/>
        <w:ind w:firstLine="420" w:firstLineChars="200"/>
        <w:jc w:val="left"/>
        <w:rPr>
          <w:rFonts w:ascii="宋体" w:hAnsi="宋体" w:eastAsia="宋体"/>
          <w:color w:val="auto"/>
          <w:szCs w:val="21"/>
        </w:rPr>
      </w:pPr>
    </w:p>
    <w:p w14:paraId="4354D1BD">
      <w:pPr>
        <w:adjustRightInd w:val="0"/>
        <w:snapToGrid w:val="0"/>
        <w:spacing w:line="360" w:lineRule="auto"/>
        <w:jc w:val="center"/>
        <w:rPr>
          <w:rFonts w:ascii="仿宋_GB2312" w:hAnsi="宋体" w:eastAsia="仿宋_GB2312"/>
          <w:color w:val="auto"/>
          <w:szCs w:val="21"/>
        </w:rPr>
      </w:pPr>
    </w:p>
    <w:p w14:paraId="262563B2">
      <w:pPr>
        <w:adjustRightInd w:val="0"/>
        <w:snapToGrid w:val="0"/>
        <w:spacing w:line="360" w:lineRule="auto"/>
        <w:jc w:val="center"/>
        <w:rPr>
          <w:rFonts w:ascii="黑体" w:eastAsia="黑体"/>
          <w:color w:val="auto"/>
          <w:sz w:val="32"/>
          <w:szCs w:val="32"/>
        </w:rPr>
      </w:pPr>
      <w:r>
        <w:rPr>
          <w:rFonts w:ascii="仿宋_GB2312" w:hAnsi="宋体" w:eastAsia="仿宋_GB2312"/>
          <w:color w:val="auto"/>
          <w:szCs w:val="21"/>
        </w:rPr>
        <w:br w:type="page"/>
      </w:r>
    </w:p>
    <w:p w14:paraId="217911C5">
      <w:pPr>
        <w:adjustRightInd w:val="0"/>
        <w:snapToGrid w:val="0"/>
        <w:spacing w:line="360" w:lineRule="auto"/>
        <w:jc w:val="center"/>
        <w:rPr>
          <w:rFonts w:ascii="黑体" w:eastAsia="黑体"/>
          <w:color w:val="auto"/>
          <w:sz w:val="32"/>
          <w:szCs w:val="32"/>
        </w:rPr>
      </w:pPr>
    </w:p>
    <w:p w14:paraId="0A8B43E7">
      <w:pPr>
        <w:adjustRightInd w:val="0"/>
        <w:snapToGrid w:val="0"/>
        <w:spacing w:line="360" w:lineRule="auto"/>
        <w:jc w:val="center"/>
        <w:rPr>
          <w:rFonts w:hint="eastAsia" w:ascii="宋体" w:hAnsi="宋体" w:eastAsia="宋体"/>
          <w:b/>
          <w:bCs/>
          <w:color w:val="auto"/>
          <w:sz w:val="72"/>
          <w:szCs w:val="72"/>
          <w:lang w:eastAsia="zh-CN"/>
        </w:rPr>
      </w:pPr>
      <w:r>
        <w:rPr>
          <w:rFonts w:hint="eastAsia" w:ascii="宋体" w:hAnsi="宋体"/>
          <w:b/>
          <w:bCs/>
          <w:color w:val="auto"/>
          <w:sz w:val="72"/>
          <w:szCs w:val="72"/>
          <w:lang w:val="en-US" w:eastAsia="zh-CN"/>
        </w:rPr>
        <w:t>服务</w:t>
      </w:r>
      <w:r>
        <w:rPr>
          <w:rFonts w:hint="eastAsia" w:ascii="宋体" w:hAnsi="宋体" w:eastAsia="宋体"/>
          <w:b/>
          <w:bCs/>
          <w:color w:val="auto"/>
          <w:sz w:val="72"/>
          <w:szCs w:val="72"/>
          <w:lang w:eastAsia="zh-CN"/>
        </w:rPr>
        <w:t>类项目询价比选</w:t>
      </w:r>
    </w:p>
    <w:p w14:paraId="68A29F4E">
      <w:pPr>
        <w:adjustRightInd w:val="0"/>
        <w:snapToGrid w:val="0"/>
        <w:spacing w:line="360" w:lineRule="auto"/>
        <w:jc w:val="center"/>
        <w:rPr>
          <w:rFonts w:ascii="宋体" w:hAnsi="宋体" w:eastAsia="宋体"/>
          <w:b/>
          <w:bCs/>
          <w:color w:val="auto"/>
          <w:sz w:val="72"/>
          <w:szCs w:val="72"/>
        </w:rPr>
      </w:pPr>
      <w:r>
        <w:rPr>
          <w:rFonts w:hint="eastAsia" w:ascii="宋体" w:hAnsi="宋体" w:eastAsia="宋体"/>
          <w:b/>
          <w:bCs/>
          <w:color w:val="auto"/>
          <w:sz w:val="72"/>
          <w:szCs w:val="72"/>
        </w:rPr>
        <w:t>投 标 文 件</w:t>
      </w:r>
    </w:p>
    <w:p w14:paraId="3C0B4101">
      <w:pPr>
        <w:adjustRightInd w:val="0"/>
        <w:snapToGrid w:val="0"/>
        <w:spacing w:line="360" w:lineRule="auto"/>
        <w:jc w:val="center"/>
        <w:rPr>
          <w:rFonts w:ascii="宋体" w:hAnsi="宋体" w:eastAsia="宋体"/>
          <w:b/>
          <w:bCs/>
          <w:color w:val="auto"/>
          <w:sz w:val="84"/>
          <w:szCs w:val="84"/>
        </w:rPr>
      </w:pPr>
    </w:p>
    <w:p w14:paraId="5DD17644">
      <w:pPr>
        <w:pStyle w:val="5"/>
        <w:adjustRightInd w:val="0"/>
        <w:snapToGrid w:val="0"/>
        <w:jc w:val="center"/>
        <w:rPr>
          <w:rFonts w:ascii="黑体" w:hAnsi="黑体" w:eastAsia="黑体"/>
          <w:color w:val="auto"/>
          <w:sz w:val="44"/>
          <w:szCs w:val="44"/>
        </w:rPr>
      </w:pPr>
      <w:bookmarkStart w:id="74" w:name="_Toc12769"/>
      <w:bookmarkStart w:id="75" w:name="_Toc12272"/>
      <w:r>
        <w:rPr>
          <w:rFonts w:hint="eastAsia" w:ascii="黑体" w:hAnsi="黑体" w:eastAsia="黑体"/>
          <w:color w:val="auto"/>
          <w:sz w:val="44"/>
          <w:szCs w:val="44"/>
        </w:rPr>
        <w:t>第一部分 资格证明文件</w:t>
      </w:r>
      <w:bookmarkEnd w:id="74"/>
      <w:bookmarkEnd w:id="75"/>
    </w:p>
    <w:p w14:paraId="548D1774">
      <w:pPr>
        <w:adjustRightInd w:val="0"/>
        <w:snapToGrid w:val="0"/>
        <w:spacing w:line="360" w:lineRule="auto"/>
        <w:rPr>
          <w:rFonts w:ascii="黑体" w:hAnsi="黑体" w:eastAsia="黑体"/>
          <w:b/>
          <w:color w:val="auto"/>
          <w:sz w:val="32"/>
          <w:szCs w:val="32"/>
        </w:rPr>
      </w:pPr>
    </w:p>
    <w:p w14:paraId="51B240FF">
      <w:pPr>
        <w:adjustRightInd w:val="0"/>
        <w:snapToGrid w:val="0"/>
        <w:spacing w:line="360" w:lineRule="auto"/>
        <w:rPr>
          <w:rFonts w:ascii="宋体" w:hAnsi="宋体" w:eastAsia="宋体"/>
          <w:b/>
          <w:color w:val="auto"/>
          <w:sz w:val="30"/>
          <w:szCs w:val="30"/>
        </w:rPr>
      </w:pPr>
      <w:r>
        <w:rPr>
          <w:rFonts w:hint="eastAsia" w:ascii="宋体" w:hAnsi="宋体" w:eastAsia="宋体"/>
          <w:b/>
          <w:color w:val="auto"/>
          <w:sz w:val="32"/>
          <w:szCs w:val="32"/>
        </w:rPr>
        <w:t xml:space="preserve">                     </w:t>
      </w:r>
    </w:p>
    <w:p w14:paraId="282BB87D">
      <w:pPr>
        <w:pStyle w:val="15"/>
        <w:adjustRightInd w:val="0"/>
        <w:snapToGrid w:val="0"/>
        <w:spacing w:line="360" w:lineRule="auto"/>
        <w:ind w:firstLine="1988" w:firstLineChars="660"/>
        <w:rPr>
          <w:rFonts w:ascii="宋体" w:hAnsi="宋体" w:eastAsia="宋体"/>
          <w:b/>
          <w:bCs/>
          <w:color w:val="auto"/>
          <w:sz w:val="30"/>
          <w:szCs w:val="30"/>
          <w:u w:val="single"/>
        </w:rPr>
      </w:pPr>
      <w:r>
        <w:rPr>
          <w:rFonts w:hint="eastAsia" w:ascii="宋体" w:hAnsi="宋体" w:eastAsia="宋体"/>
          <w:b/>
          <w:bCs/>
          <w:color w:val="auto"/>
          <w:sz w:val="30"/>
          <w:szCs w:val="30"/>
        </w:rPr>
        <w:t>项目名称:</w:t>
      </w:r>
      <w:r>
        <w:rPr>
          <w:rFonts w:hint="eastAsia" w:ascii="宋体" w:hAnsi="宋体" w:eastAsia="宋体"/>
          <w:b/>
          <w:bCs/>
          <w:color w:val="auto"/>
          <w:sz w:val="30"/>
          <w:szCs w:val="30"/>
          <w:u w:val="single"/>
        </w:rPr>
        <w:t xml:space="preserve">                       </w:t>
      </w:r>
    </w:p>
    <w:p w14:paraId="011C7687">
      <w:pPr>
        <w:pStyle w:val="15"/>
        <w:adjustRightInd w:val="0"/>
        <w:snapToGrid w:val="0"/>
        <w:spacing w:line="360" w:lineRule="auto"/>
        <w:ind w:firstLine="1988" w:firstLineChars="660"/>
        <w:rPr>
          <w:rFonts w:ascii="宋体" w:hAnsi="宋体" w:eastAsia="宋体"/>
          <w:b/>
          <w:bCs/>
          <w:color w:val="auto"/>
          <w:sz w:val="30"/>
          <w:szCs w:val="30"/>
        </w:rPr>
      </w:pPr>
      <w:r>
        <w:rPr>
          <w:rFonts w:hint="eastAsia" w:hAnsi="宋体"/>
          <w:b/>
          <w:bCs/>
          <w:color w:val="auto"/>
          <w:sz w:val="30"/>
          <w:szCs w:val="30"/>
          <w:lang w:eastAsia="zh-CN"/>
        </w:rPr>
        <w:t>招</w:t>
      </w:r>
      <w:r>
        <w:rPr>
          <w:rFonts w:hint="eastAsia" w:ascii="宋体" w:hAnsi="宋体" w:eastAsia="宋体"/>
          <w:b/>
          <w:bCs/>
          <w:color w:val="auto"/>
          <w:sz w:val="30"/>
          <w:szCs w:val="30"/>
        </w:rPr>
        <w:t xml:space="preserve">   </w:t>
      </w:r>
      <w:r>
        <w:rPr>
          <w:rFonts w:hint="eastAsia" w:hAnsi="宋体"/>
          <w:b/>
          <w:bCs/>
          <w:color w:val="auto"/>
          <w:sz w:val="30"/>
          <w:szCs w:val="30"/>
          <w:lang w:eastAsia="zh-CN"/>
        </w:rPr>
        <w:t>标</w:t>
      </w:r>
      <w:r>
        <w:rPr>
          <w:rFonts w:hint="eastAsia" w:ascii="宋体" w:hAnsi="宋体" w:eastAsia="宋体"/>
          <w:b/>
          <w:bCs/>
          <w:color w:val="auto"/>
          <w:sz w:val="30"/>
          <w:szCs w:val="30"/>
        </w:rPr>
        <w:t xml:space="preserve">   人：</w:t>
      </w:r>
      <w:r>
        <w:rPr>
          <w:rFonts w:hint="eastAsia" w:ascii="宋体" w:hAnsi="宋体" w:eastAsia="宋体"/>
          <w:b/>
          <w:bCs/>
          <w:color w:val="auto"/>
          <w:sz w:val="30"/>
          <w:szCs w:val="30"/>
          <w:u w:val="single"/>
        </w:rPr>
        <w:t xml:space="preserve">                      </w:t>
      </w:r>
    </w:p>
    <w:p w14:paraId="4374B612">
      <w:pPr>
        <w:adjustRightInd w:val="0"/>
        <w:snapToGrid w:val="0"/>
        <w:spacing w:line="360" w:lineRule="auto"/>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 xml:space="preserve">  </w:t>
      </w:r>
    </w:p>
    <w:p w14:paraId="25DE488D">
      <w:pPr>
        <w:pStyle w:val="32"/>
        <w:rPr>
          <w:rFonts w:hint="eastAsia" w:ascii="宋体" w:hAnsi="宋体"/>
          <w:b/>
          <w:bCs/>
          <w:color w:val="auto"/>
          <w:sz w:val="30"/>
          <w:szCs w:val="30"/>
          <w:lang w:val="en-US" w:eastAsia="zh-CN"/>
        </w:rPr>
      </w:pPr>
    </w:p>
    <w:p w14:paraId="4C73BB3F">
      <w:pPr>
        <w:pStyle w:val="32"/>
        <w:rPr>
          <w:rFonts w:hint="eastAsia" w:ascii="宋体" w:hAnsi="宋体"/>
          <w:b/>
          <w:bCs/>
          <w:color w:val="auto"/>
          <w:sz w:val="30"/>
          <w:szCs w:val="30"/>
          <w:lang w:val="en-US" w:eastAsia="zh-CN"/>
        </w:rPr>
      </w:pPr>
    </w:p>
    <w:p w14:paraId="3A18F6FA">
      <w:pPr>
        <w:pStyle w:val="32"/>
        <w:rPr>
          <w:rFonts w:hint="default" w:ascii="宋体" w:hAnsi="宋体"/>
          <w:b/>
          <w:bCs/>
          <w:color w:val="auto"/>
          <w:sz w:val="30"/>
          <w:szCs w:val="30"/>
          <w:lang w:val="en-US" w:eastAsia="zh-CN"/>
        </w:rPr>
      </w:pPr>
    </w:p>
    <w:p w14:paraId="7DF77DFF">
      <w:pPr>
        <w:adjustRightInd w:val="0"/>
        <w:snapToGrid w:val="0"/>
        <w:rPr>
          <w:rFonts w:ascii="黑体" w:hAnsi="宋体" w:eastAsia="黑体"/>
          <w:color w:val="auto"/>
          <w:sz w:val="30"/>
          <w:szCs w:val="30"/>
        </w:rPr>
      </w:pPr>
    </w:p>
    <w:p w14:paraId="32AC1D74">
      <w:pPr>
        <w:adjustRightInd w:val="0"/>
        <w:snapToGrid w:val="0"/>
        <w:spacing w:line="360" w:lineRule="auto"/>
        <w:rPr>
          <w:rFonts w:ascii="黑体" w:hAnsi="宋体" w:eastAsia="黑体"/>
          <w:color w:val="auto"/>
          <w:sz w:val="30"/>
          <w:szCs w:val="30"/>
        </w:rPr>
      </w:pPr>
    </w:p>
    <w:p w14:paraId="3A7A9009">
      <w:pPr>
        <w:adjustRightInd w:val="0"/>
        <w:snapToGrid w:val="0"/>
        <w:spacing w:line="360" w:lineRule="auto"/>
        <w:rPr>
          <w:rFonts w:ascii="黑体" w:hAnsi="宋体" w:eastAsia="黑体"/>
          <w:color w:val="auto"/>
          <w:sz w:val="30"/>
          <w:szCs w:val="30"/>
        </w:rPr>
      </w:pPr>
    </w:p>
    <w:p w14:paraId="6C9227E4">
      <w:pPr>
        <w:adjustRightInd w:val="0"/>
        <w:snapToGrid w:val="0"/>
        <w:spacing w:line="360" w:lineRule="auto"/>
        <w:ind w:firstLine="1984" w:firstLineChars="620"/>
        <w:rPr>
          <w:rFonts w:ascii="黑体" w:hAnsi="宋体" w:eastAsia="黑体"/>
          <w:color w:val="auto"/>
          <w:sz w:val="32"/>
          <w:szCs w:val="32"/>
          <w:u w:val="single"/>
        </w:rPr>
      </w:pPr>
      <w:r>
        <w:rPr>
          <w:rFonts w:hint="eastAsia" w:ascii="黑体" w:hAnsi="宋体" w:eastAsia="黑体"/>
          <w:color w:val="auto"/>
          <w:sz w:val="32"/>
          <w:szCs w:val="32"/>
        </w:rPr>
        <w:t>投标人</w:t>
      </w:r>
      <w:r>
        <w:rPr>
          <w:rFonts w:hint="eastAsia" w:ascii="黑体" w:hAnsi="宋体" w:eastAsia="黑体"/>
          <w:color w:val="auto"/>
          <w:sz w:val="32"/>
          <w:szCs w:val="32"/>
          <w:u w:val="single"/>
        </w:rPr>
        <w:t xml:space="preserve">                         </w:t>
      </w:r>
    </w:p>
    <w:p w14:paraId="7C19B947">
      <w:pPr>
        <w:adjustRightInd w:val="0"/>
        <w:snapToGrid w:val="0"/>
        <w:spacing w:line="360" w:lineRule="auto"/>
        <w:jc w:val="center"/>
        <w:rPr>
          <w:rFonts w:ascii="黑体" w:eastAsia="黑体"/>
          <w:color w:val="auto"/>
          <w:sz w:val="10"/>
          <w:szCs w:val="10"/>
        </w:rPr>
      </w:pPr>
      <w:r>
        <w:rPr>
          <w:rFonts w:hint="eastAsia" w:ascii="黑体" w:hAnsi="宋体" w:eastAsia="黑体"/>
          <w:color w:val="auto"/>
          <w:sz w:val="32"/>
          <w:szCs w:val="32"/>
        </w:rPr>
        <w:t>年</w:t>
      </w:r>
      <w:r>
        <w:rPr>
          <w:rFonts w:hint="eastAsia" w:ascii="黑体" w:hAnsi="宋体" w:eastAsia="黑体"/>
          <w:color w:val="auto"/>
          <w:sz w:val="32"/>
          <w:szCs w:val="32"/>
          <w:lang w:val="en-US" w:eastAsia="zh-CN"/>
        </w:rPr>
        <w:t xml:space="preserve"> </w:t>
      </w:r>
      <w:r>
        <w:rPr>
          <w:rFonts w:hint="eastAsia" w:ascii="黑体" w:hAnsi="宋体" w:eastAsia="黑体"/>
          <w:color w:val="auto"/>
          <w:sz w:val="32"/>
          <w:szCs w:val="32"/>
        </w:rPr>
        <w:t xml:space="preserve">  月 </w:t>
      </w:r>
      <w:r>
        <w:rPr>
          <w:rFonts w:hint="eastAsia" w:ascii="黑体" w:hAnsi="宋体" w:eastAsia="黑体"/>
          <w:color w:val="auto"/>
          <w:sz w:val="32"/>
          <w:szCs w:val="32"/>
          <w:lang w:val="en-US" w:eastAsia="zh-CN"/>
        </w:rPr>
        <w:t xml:space="preserve"> </w:t>
      </w:r>
      <w:r>
        <w:rPr>
          <w:rFonts w:hint="eastAsia" w:ascii="黑体" w:hAnsi="宋体" w:eastAsia="黑体"/>
          <w:color w:val="auto"/>
          <w:sz w:val="32"/>
          <w:szCs w:val="32"/>
        </w:rPr>
        <w:t xml:space="preserve"> 日</w:t>
      </w:r>
      <w:r>
        <w:rPr>
          <w:rFonts w:ascii="黑体" w:eastAsia="黑体"/>
          <w:color w:val="auto"/>
          <w:sz w:val="28"/>
          <w:szCs w:val="28"/>
        </w:rPr>
        <w:br w:type="page"/>
      </w:r>
    </w:p>
    <w:p w14:paraId="759A7C0F">
      <w:pPr>
        <w:pStyle w:val="6"/>
        <w:adjustRightInd w:val="0"/>
        <w:snapToGrid w:val="0"/>
        <w:spacing w:before="0" w:after="0" w:line="360" w:lineRule="auto"/>
        <w:jc w:val="center"/>
        <w:rPr>
          <w:rFonts w:ascii="黑体" w:hAnsi="宋体" w:eastAsia="黑体"/>
          <w:color w:val="auto"/>
          <w:sz w:val="28"/>
          <w:szCs w:val="28"/>
        </w:rPr>
      </w:pPr>
      <w:bookmarkStart w:id="76" w:name="_Toc13587"/>
      <w:r>
        <w:rPr>
          <w:rFonts w:hint="eastAsia" w:ascii="黑体" w:hAnsi="宋体" w:eastAsia="黑体"/>
          <w:color w:val="auto"/>
          <w:sz w:val="28"/>
          <w:szCs w:val="28"/>
        </w:rPr>
        <w:t>一、开标一览表</w:t>
      </w:r>
      <w:bookmarkEnd w:id="76"/>
    </w:p>
    <w:p w14:paraId="4454E630">
      <w:pPr>
        <w:adjustRightInd w:val="0"/>
        <w:snapToGrid w:val="0"/>
        <w:spacing w:line="360" w:lineRule="auto"/>
        <w:ind w:left="-88" w:leftChars="-42"/>
        <w:jc w:val="center"/>
        <w:rPr>
          <w:rFonts w:ascii="仿宋_GB2312" w:hAnsi="宋体" w:eastAsia="仿宋_GB2312"/>
          <w:color w:val="auto"/>
          <w:sz w:val="24"/>
        </w:rPr>
      </w:pPr>
    </w:p>
    <w:p w14:paraId="2E3A6097">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项目名称：</w:t>
      </w:r>
      <w:r>
        <w:rPr>
          <w:rFonts w:hint="eastAsia" w:ascii="宋体" w:hAnsi="宋体" w:eastAsia="宋体"/>
          <w:color w:val="auto"/>
          <w:szCs w:val="21"/>
          <w:u w:val="single"/>
        </w:rPr>
        <w:t xml:space="preserve">                </w:t>
      </w:r>
      <w:r>
        <w:rPr>
          <w:rFonts w:hint="eastAsia" w:ascii="宋体" w:hAnsi="宋体" w:eastAsia="宋体"/>
          <w:color w:val="auto"/>
          <w:szCs w:val="21"/>
        </w:rPr>
        <w:t xml:space="preserve"> </w:t>
      </w:r>
    </w:p>
    <w:p w14:paraId="372B26C1">
      <w:pPr>
        <w:adjustRightInd w:val="0"/>
        <w:snapToGrid w:val="0"/>
        <w:spacing w:line="360" w:lineRule="auto"/>
        <w:rPr>
          <w:rFonts w:ascii="宋体" w:hAnsi="宋体" w:eastAsia="宋体"/>
          <w:b/>
          <w:color w:val="auto"/>
          <w:szCs w:val="21"/>
        </w:rPr>
      </w:pPr>
      <w:r>
        <w:rPr>
          <w:rFonts w:hint="eastAsia" w:ascii="宋体" w:hAnsi="宋体" w:eastAsia="宋体"/>
          <w:color w:val="auto"/>
          <w:szCs w:val="21"/>
        </w:rPr>
        <w:t>包号：</w:t>
      </w:r>
      <w:r>
        <w:rPr>
          <w:rFonts w:hint="eastAsia" w:ascii="宋体" w:hAnsi="宋体" w:eastAsia="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 xml:space="preserve">                               包名称：</w:t>
      </w:r>
      <w:r>
        <w:rPr>
          <w:rFonts w:hint="eastAsia" w:ascii="宋体" w:hAnsi="宋体" w:eastAsia="宋体"/>
          <w:color w:val="auto"/>
          <w:szCs w:val="21"/>
          <w:u w:val="single"/>
        </w:rPr>
        <w:t xml:space="preserve">                  </w:t>
      </w:r>
    </w:p>
    <w:tbl>
      <w:tblPr>
        <w:tblStyle w:val="26"/>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5DDD7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6085082C">
            <w:pPr>
              <w:adjustRightInd w:val="0"/>
              <w:snapToGrid w:val="0"/>
              <w:spacing w:line="360" w:lineRule="auto"/>
              <w:jc w:val="center"/>
              <w:rPr>
                <w:rFonts w:ascii="宋体" w:hAnsi="宋体" w:eastAsia="宋体"/>
                <w:b/>
                <w:color w:val="auto"/>
                <w:kern w:val="0"/>
                <w:sz w:val="20"/>
                <w:szCs w:val="21"/>
              </w:rPr>
            </w:pPr>
            <w:r>
              <w:rPr>
                <w:rFonts w:hint="eastAsia" w:ascii="宋体" w:hAnsi="宋体" w:eastAsia="宋体"/>
                <w:b/>
                <w:color w:val="auto"/>
                <w:kern w:val="0"/>
                <w:szCs w:val="21"/>
              </w:rPr>
              <w:t>投标报价</w:t>
            </w:r>
          </w:p>
        </w:tc>
        <w:tc>
          <w:tcPr>
            <w:tcW w:w="3119" w:type="dxa"/>
            <w:noWrap w:val="0"/>
            <w:vAlign w:val="center"/>
          </w:tcPr>
          <w:p w14:paraId="67B87668">
            <w:pPr>
              <w:adjustRightInd w:val="0"/>
              <w:snapToGrid w:val="0"/>
              <w:spacing w:line="360" w:lineRule="auto"/>
              <w:jc w:val="center"/>
              <w:rPr>
                <w:rFonts w:ascii="宋体" w:hAnsi="宋体" w:eastAsia="宋体"/>
                <w:b/>
                <w:color w:val="auto"/>
                <w:kern w:val="0"/>
                <w:szCs w:val="21"/>
              </w:rPr>
            </w:pPr>
            <w:r>
              <w:rPr>
                <w:rFonts w:hint="eastAsia" w:ascii="宋体" w:hAnsi="宋体" w:eastAsia="宋体"/>
                <w:b/>
                <w:color w:val="auto"/>
                <w:kern w:val="0"/>
                <w:szCs w:val="21"/>
              </w:rPr>
              <w:t>其他内容</w:t>
            </w:r>
          </w:p>
        </w:tc>
      </w:tr>
      <w:tr w14:paraId="50663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154D119D">
            <w:pPr>
              <w:adjustRightInd w:val="0"/>
              <w:snapToGrid w:val="0"/>
              <w:spacing w:line="360" w:lineRule="auto"/>
              <w:jc w:val="center"/>
              <w:rPr>
                <w:rFonts w:hint="eastAsia" w:ascii="宋体" w:hAnsi="宋体" w:eastAsia="宋体"/>
                <w:color w:val="auto"/>
                <w:kern w:val="0"/>
                <w:szCs w:val="21"/>
              </w:rPr>
            </w:pPr>
          </w:p>
          <w:p w14:paraId="4D7DCA5B">
            <w:pPr>
              <w:adjustRightInd w:val="0"/>
              <w:snapToGrid w:val="0"/>
              <w:spacing w:line="360" w:lineRule="auto"/>
              <w:jc w:val="center"/>
              <w:rPr>
                <w:rFonts w:ascii="宋体" w:hAnsi="宋体" w:eastAsia="宋体"/>
                <w:color w:val="auto"/>
                <w:kern w:val="0"/>
                <w:szCs w:val="21"/>
              </w:rPr>
            </w:pPr>
            <w:r>
              <w:rPr>
                <w:rFonts w:hint="eastAsia" w:ascii="宋体" w:hAnsi="宋体" w:eastAsia="宋体"/>
                <w:color w:val="auto"/>
                <w:kern w:val="0"/>
                <w:szCs w:val="21"/>
              </w:rPr>
              <w:t>小写金额：</w:t>
            </w:r>
            <w:r>
              <w:rPr>
                <w:rFonts w:hint="eastAsia" w:ascii="宋体" w:hAnsi="宋体" w:eastAsia="宋体"/>
                <w:color w:val="auto"/>
                <w:kern w:val="0"/>
                <w:szCs w:val="21"/>
                <w:u w:val="single"/>
              </w:rPr>
              <w:t xml:space="preserve">               </w:t>
            </w:r>
            <w:r>
              <w:rPr>
                <w:rFonts w:hint="eastAsia" w:ascii="宋体" w:hAnsi="宋体" w:eastAsia="宋体"/>
                <w:color w:val="auto"/>
                <w:kern w:val="0"/>
                <w:szCs w:val="21"/>
              </w:rPr>
              <w:t>（</w:t>
            </w:r>
            <w:r>
              <w:rPr>
                <w:rFonts w:hint="eastAsia" w:ascii="宋体" w:hAnsi="宋体" w:eastAsia="宋体"/>
                <w:color w:val="auto"/>
                <w:kern w:val="0"/>
                <w:sz w:val="20"/>
                <w:szCs w:val="21"/>
              </w:rPr>
              <w:t>人民币元</w:t>
            </w:r>
            <w:r>
              <w:rPr>
                <w:rFonts w:hint="eastAsia" w:ascii="宋体" w:hAnsi="宋体" w:eastAsia="宋体"/>
                <w:color w:val="auto"/>
                <w:kern w:val="0"/>
                <w:szCs w:val="21"/>
              </w:rPr>
              <w:t>）</w:t>
            </w:r>
          </w:p>
          <w:p w14:paraId="1A1AB864">
            <w:pPr>
              <w:adjustRightInd w:val="0"/>
              <w:snapToGrid w:val="0"/>
              <w:spacing w:line="360" w:lineRule="auto"/>
              <w:jc w:val="center"/>
              <w:rPr>
                <w:rFonts w:ascii="宋体" w:hAnsi="宋体" w:eastAsia="宋体"/>
                <w:color w:val="auto"/>
                <w:kern w:val="0"/>
                <w:szCs w:val="21"/>
                <w:u w:val="single"/>
              </w:rPr>
            </w:pPr>
            <w:r>
              <w:rPr>
                <w:rFonts w:hint="eastAsia" w:ascii="宋体" w:hAnsi="宋体" w:eastAsia="宋体"/>
                <w:color w:val="auto"/>
                <w:kern w:val="0"/>
                <w:szCs w:val="21"/>
              </w:rPr>
              <w:t>大写金额：</w:t>
            </w:r>
            <w:r>
              <w:rPr>
                <w:rFonts w:hint="eastAsia" w:ascii="宋体" w:hAnsi="宋体" w:eastAsia="宋体"/>
                <w:color w:val="auto"/>
                <w:kern w:val="0"/>
                <w:szCs w:val="21"/>
                <w:u w:val="single"/>
              </w:rPr>
              <w:t xml:space="preserve">                </w:t>
            </w:r>
            <w:r>
              <w:rPr>
                <w:rFonts w:hint="eastAsia" w:ascii="宋体" w:hAnsi="宋体" w:eastAsia="宋体"/>
                <w:color w:val="auto"/>
                <w:kern w:val="0"/>
                <w:szCs w:val="21"/>
              </w:rPr>
              <w:t>（</w:t>
            </w:r>
            <w:r>
              <w:rPr>
                <w:rFonts w:hint="eastAsia" w:ascii="宋体" w:hAnsi="宋体" w:eastAsia="宋体"/>
                <w:color w:val="auto"/>
                <w:kern w:val="0"/>
                <w:sz w:val="20"/>
                <w:szCs w:val="21"/>
              </w:rPr>
              <w:t>人民币元</w:t>
            </w:r>
            <w:r>
              <w:rPr>
                <w:rFonts w:hint="eastAsia" w:ascii="宋体" w:hAnsi="宋体" w:eastAsia="宋体"/>
                <w:color w:val="auto"/>
                <w:kern w:val="0"/>
                <w:szCs w:val="21"/>
              </w:rPr>
              <w:t>）</w:t>
            </w:r>
          </w:p>
          <w:p w14:paraId="69467020">
            <w:pPr>
              <w:adjustRightInd w:val="0"/>
              <w:snapToGrid w:val="0"/>
              <w:spacing w:line="360" w:lineRule="auto"/>
              <w:jc w:val="center"/>
              <w:rPr>
                <w:rFonts w:ascii="宋体" w:hAnsi="宋体" w:eastAsia="宋体"/>
                <w:color w:val="auto"/>
                <w:kern w:val="0"/>
                <w:sz w:val="20"/>
                <w:szCs w:val="21"/>
              </w:rPr>
            </w:pPr>
            <w:r>
              <w:rPr>
                <w:rFonts w:hint="eastAsia" w:ascii="宋体" w:hAnsi="宋体" w:eastAsia="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eastAsia="宋体"/>
                <w:color w:val="auto"/>
                <w:kern w:val="0"/>
                <w:szCs w:val="21"/>
              </w:rPr>
              <w:t>）</w:t>
            </w:r>
          </w:p>
        </w:tc>
        <w:tc>
          <w:tcPr>
            <w:tcW w:w="3119" w:type="dxa"/>
            <w:vMerge w:val="restart"/>
            <w:noWrap w:val="0"/>
            <w:vAlign w:val="center"/>
          </w:tcPr>
          <w:p w14:paraId="4E3692B4">
            <w:pPr>
              <w:adjustRightInd w:val="0"/>
              <w:snapToGrid w:val="0"/>
              <w:spacing w:line="360" w:lineRule="auto"/>
              <w:jc w:val="center"/>
              <w:rPr>
                <w:rFonts w:ascii="宋体" w:hAnsi="宋体" w:eastAsia="宋体"/>
                <w:color w:val="auto"/>
                <w:kern w:val="0"/>
                <w:szCs w:val="21"/>
              </w:rPr>
            </w:pPr>
          </w:p>
        </w:tc>
      </w:tr>
      <w:tr w14:paraId="19416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noWrap w:val="0"/>
            <w:vAlign w:val="center"/>
          </w:tcPr>
          <w:p w14:paraId="3FF0D455">
            <w:pPr>
              <w:adjustRightInd w:val="0"/>
              <w:snapToGrid w:val="0"/>
              <w:spacing w:line="360" w:lineRule="auto"/>
              <w:jc w:val="center"/>
              <w:rPr>
                <w:rFonts w:hint="default" w:ascii="宋体" w:hAnsi="宋体" w:eastAsia="宋体"/>
                <w:color w:val="auto"/>
                <w:kern w:val="0"/>
                <w:szCs w:val="21"/>
                <w:lang w:val="en-US" w:eastAsia="zh-CN"/>
              </w:rPr>
            </w:pPr>
            <w:r>
              <w:rPr>
                <w:rFonts w:hint="eastAsia" w:ascii="宋体" w:hAnsi="宋体"/>
                <w:color w:val="auto"/>
                <w:kern w:val="0"/>
                <w:szCs w:val="21"/>
                <w:lang w:eastAsia="zh-CN"/>
              </w:rPr>
              <w:t>费率：</w:t>
            </w:r>
            <w:r>
              <w:rPr>
                <w:rFonts w:hint="eastAsia" w:ascii="宋体" w:hAnsi="宋体"/>
                <w:color w:val="auto"/>
                <w:kern w:val="0"/>
                <w:szCs w:val="21"/>
                <w:u w:val="single"/>
                <w:lang w:val="en-US" w:eastAsia="zh-CN"/>
              </w:rPr>
              <w:t xml:space="preserve">              %</w:t>
            </w:r>
          </w:p>
        </w:tc>
        <w:tc>
          <w:tcPr>
            <w:tcW w:w="3119" w:type="dxa"/>
            <w:vMerge w:val="continue"/>
            <w:noWrap w:val="0"/>
            <w:vAlign w:val="center"/>
          </w:tcPr>
          <w:p w14:paraId="09693487">
            <w:pPr>
              <w:adjustRightInd w:val="0"/>
              <w:snapToGrid w:val="0"/>
              <w:spacing w:line="360" w:lineRule="auto"/>
              <w:jc w:val="center"/>
              <w:rPr>
                <w:rFonts w:ascii="宋体" w:hAnsi="宋体" w:eastAsia="宋体"/>
                <w:color w:val="auto"/>
                <w:kern w:val="0"/>
                <w:szCs w:val="21"/>
              </w:rPr>
            </w:pPr>
          </w:p>
        </w:tc>
      </w:tr>
    </w:tbl>
    <w:p w14:paraId="75B51C7F">
      <w:pPr>
        <w:adjustRightInd w:val="0"/>
        <w:snapToGrid w:val="0"/>
        <w:spacing w:line="360" w:lineRule="auto"/>
        <w:rPr>
          <w:rFonts w:hint="eastAsia" w:ascii="宋体" w:hAnsi="宋体" w:eastAsia="宋体"/>
          <w:b w:val="0"/>
          <w:bCs/>
          <w:color w:val="auto"/>
          <w:szCs w:val="21"/>
        </w:rPr>
      </w:pPr>
    </w:p>
    <w:p w14:paraId="68E305C5">
      <w:pPr>
        <w:adjustRightInd w:val="0"/>
        <w:snapToGrid w:val="0"/>
        <w:spacing w:line="360" w:lineRule="auto"/>
        <w:rPr>
          <w:rFonts w:ascii="宋体" w:hAnsi="宋体" w:eastAsia="宋体"/>
          <w:color w:val="auto"/>
          <w:szCs w:val="21"/>
        </w:rPr>
      </w:pPr>
      <w:r>
        <w:rPr>
          <w:rFonts w:hint="eastAsia" w:ascii="宋体" w:hAnsi="宋体" w:eastAsia="宋体"/>
          <w:b w:val="0"/>
          <w:bCs/>
          <w:color w:val="auto"/>
          <w:szCs w:val="21"/>
        </w:rPr>
        <w:t>注：</w:t>
      </w:r>
      <w:r>
        <w:rPr>
          <w:rFonts w:hint="eastAsia" w:ascii="宋体" w:hAnsi="宋体"/>
          <w:color w:val="auto"/>
          <w:szCs w:val="21"/>
          <w:lang w:val="en-US" w:eastAsia="zh-CN"/>
        </w:rPr>
        <w:t>1.</w:t>
      </w:r>
      <w:r>
        <w:rPr>
          <w:rFonts w:hint="eastAsia" w:ascii="宋体" w:hAnsi="宋体" w:eastAsia="宋体"/>
          <w:color w:val="auto"/>
          <w:szCs w:val="21"/>
        </w:rPr>
        <w:t>本表须按包填写，一个“包号”一份。</w:t>
      </w:r>
    </w:p>
    <w:p w14:paraId="3F800A80">
      <w:pPr>
        <w:adjustRightInd w:val="0"/>
        <w:snapToGrid w:val="0"/>
        <w:spacing w:line="360" w:lineRule="auto"/>
        <w:ind w:firstLine="420" w:firstLineChars="200"/>
        <w:rPr>
          <w:rFonts w:ascii="宋体" w:hAnsi="宋体" w:eastAsia="宋体"/>
          <w:color w:val="auto"/>
          <w:szCs w:val="21"/>
        </w:rPr>
      </w:pPr>
      <w:r>
        <w:rPr>
          <w:rFonts w:hint="eastAsia" w:ascii="宋体" w:hAnsi="宋体"/>
          <w:color w:val="auto"/>
          <w:szCs w:val="21"/>
          <w:lang w:val="en-US" w:eastAsia="zh-CN"/>
        </w:rPr>
        <w:t>2.</w:t>
      </w:r>
      <w:r>
        <w:rPr>
          <w:rFonts w:hint="eastAsia" w:ascii="宋体" w:hAnsi="宋体" w:eastAsia="宋体"/>
          <w:color w:val="auto"/>
        </w:rPr>
        <w:t>投标人对采购项目内容只允许有一个投标报价，否则其</w:t>
      </w:r>
      <w:r>
        <w:rPr>
          <w:rFonts w:hint="eastAsia" w:ascii="宋体" w:hAnsi="宋体" w:eastAsia="宋体"/>
          <w:b/>
          <w:color w:val="auto"/>
        </w:rPr>
        <w:t>投标无效</w:t>
      </w:r>
      <w:r>
        <w:rPr>
          <w:rFonts w:hint="eastAsia" w:ascii="宋体" w:hAnsi="宋体" w:eastAsia="宋体"/>
          <w:color w:val="auto"/>
          <w:szCs w:val="21"/>
        </w:rPr>
        <w:t>。</w:t>
      </w:r>
    </w:p>
    <w:p w14:paraId="16ED1006">
      <w:pPr>
        <w:adjustRightInd w:val="0"/>
        <w:snapToGrid w:val="0"/>
        <w:spacing w:line="360" w:lineRule="auto"/>
        <w:ind w:firstLine="420" w:firstLineChars="200"/>
        <w:jc w:val="left"/>
        <w:rPr>
          <w:rFonts w:ascii="宋体" w:hAnsi="宋体" w:eastAsia="宋体"/>
          <w:color w:val="auto"/>
        </w:rPr>
      </w:pPr>
      <w:r>
        <w:rPr>
          <w:rFonts w:hint="eastAsia" w:ascii="宋体" w:hAnsi="宋体"/>
          <w:color w:val="auto"/>
          <w:szCs w:val="21"/>
          <w:lang w:val="en-US" w:eastAsia="zh-CN"/>
        </w:rPr>
        <w:t>3.</w:t>
      </w:r>
      <w:r>
        <w:rPr>
          <w:rFonts w:hint="eastAsia" w:ascii="宋体" w:hAnsi="宋体" w:eastAsia="宋体"/>
          <w:color w:val="auto"/>
        </w:rPr>
        <w:t>投标人在投标截止时间前修改“开标一览表”中的投标报价的，应同时修改投标文件“分项报价明细表”以及“联合体协议书”（如果影响）等相关内容。</w:t>
      </w:r>
    </w:p>
    <w:p w14:paraId="4E5AEACF">
      <w:pPr>
        <w:adjustRightInd w:val="0"/>
        <w:snapToGrid w:val="0"/>
        <w:spacing w:line="360" w:lineRule="auto"/>
        <w:ind w:firstLine="420" w:firstLineChars="200"/>
        <w:rPr>
          <w:rFonts w:ascii="宋体" w:hAnsi="宋体" w:eastAsia="宋体"/>
          <w:color w:val="auto"/>
          <w:szCs w:val="21"/>
        </w:rPr>
      </w:pPr>
    </w:p>
    <w:p w14:paraId="50C58B73">
      <w:pPr>
        <w:adjustRightInd w:val="0"/>
        <w:snapToGrid w:val="0"/>
        <w:spacing w:line="360" w:lineRule="auto"/>
        <w:ind w:firstLine="420" w:firstLineChars="200"/>
        <w:rPr>
          <w:rFonts w:ascii="宋体" w:hAnsi="宋体" w:eastAsia="宋体"/>
          <w:color w:val="auto"/>
          <w:szCs w:val="21"/>
        </w:rPr>
      </w:pPr>
    </w:p>
    <w:p w14:paraId="4893BFC1">
      <w:pPr>
        <w:adjustRightInd w:val="0"/>
        <w:snapToGrid w:val="0"/>
        <w:spacing w:line="360" w:lineRule="auto"/>
        <w:rPr>
          <w:rFonts w:ascii="宋体" w:hAnsi="宋体" w:eastAsia="宋体"/>
          <w:color w:val="auto"/>
          <w:szCs w:val="21"/>
        </w:rPr>
      </w:pPr>
    </w:p>
    <w:p w14:paraId="19FBEDB6">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投标人名称（盖单位章）：</w:t>
      </w:r>
    </w:p>
    <w:p w14:paraId="161DCA42">
      <w:pPr>
        <w:adjustRightInd w:val="0"/>
        <w:snapToGrid w:val="0"/>
        <w:spacing w:line="360" w:lineRule="auto"/>
        <w:rPr>
          <w:rFonts w:ascii="宋体" w:hAnsi="宋体" w:eastAsia="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或其授权的代理人（签字或印章）：</w:t>
      </w:r>
      <w:r>
        <w:rPr>
          <w:rFonts w:hint="eastAsia" w:ascii="宋体" w:hAnsi="宋体" w:eastAsia="宋体"/>
          <w:color w:val="auto"/>
          <w:szCs w:val="21"/>
          <w:u w:val="single"/>
        </w:rPr>
        <w:t xml:space="preserve">                </w:t>
      </w:r>
      <w:r>
        <w:rPr>
          <w:rFonts w:hint="eastAsia" w:ascii="宋体" w:hAnsi="宋体" w:eastAsia="宋体"/>
          <w:color w:val="auto"/>
          <w:szCs w:val="21"/>
        </w:rPr>
        <w:t>_</w:t>
      </w:r>
    </w:p>
    <w:p w14:paraId="07627067">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日期：</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日</w:t>
      </w:r>
    </w:p>
    <w:p w14:paraId="42D93410">
      <w:pPr>
        <w:widowControl/>
        <w:jc w:val="left"/>
        <w:rPr>
          <w:rFonts w:ascii="黑体" w:eastAsia="黑体"/>
          <w:color w:val="auto"/>
          <w:sz w:val="10"/>
          <w:szCs w:val="10"/>
        </w:rPr>
      </w:pPr>
      <w:r>
        <w:rPr>
          <w:rFonts w:ascii="黑体" w:eastAsia="黑体"/>
          <w:color w:val="auto"/>
          <w:sz w:val="32"/>
          <w:szCs w:val="32"/>
        </w:rPr>
        <w:br w:type="page"/>
      </w:r>
    </w:p>
    <w:p w14:paraId="0F9263DB">
      <w:pPr>
        <w:pStyle w:val="6"/>
        <w:adjustRightInd w:val="0"/>
        <w:snapToGrid w:val="0"/>
        <w:spacing w:before="0" w:after="0" w:line="360" w:lineRule="auto"/>
        <w:jc w:val="center"/>
        <w:rPr>
          <w:rFonts w:ascii="黑体" w:hAnsi="宋体" w:eastAsia="黑体"/>
          <w:color w:val="auto"/>
          <w:sz w:val="28"/>
          <w:szCs w:val="28"/>
        </w:rPr>
      </w:pPr>
      <w:bookmarkStart w:id="77" w:name="_Toc12400"/>
      <w:r>
        <w:rPr>
          <w:rFonts w:hint="eastAsia" w:ascii="黑体" w:hAnsi="宋体" w:eastAsia="黑体"/>
          <w:color w:val="auto"/>
          <w:sz w:val="28"/>
          <w:szCs w:val="28"/>
          <w:lang w:eastAsia="zh-CN"/>
        </w:rPr>
        <w:t>二</w:t>
      </w:r>
      <w:r>
        <w:rPr>
          <w:rFonts w:hint="eastAsia" w:ascii="黑体" w:hAnsi="宋体" w:eastAsia="黑体"/>
          <w:color w:val="auto"/>
          <w:sz w:val="28"/>
          <w:szCs w:val="28"/>
        </w:rPr>
        <w:t>、授权委托书</w:t>
      </w:r>
      <w:bookmarkEnd w:id="77"/>
    </w:p>
    <w:p w14:paraId="189FD65E">
      <w:pPr>
        <w:autoSpaceDE w:val="0"/>
        <w:autoSpaceDN w:val="0"/>
        <w:adjustRightInd w:val="0"/>
        <w:snapToGrid w:val="0"/>
        <w:spacing w:line="360" w:lineRule="auto"/>
        <w:ind w:firstLine="446" w:firstLineChars="200"/>
        <w:jc w:val="left"/>
        <w:rPr>
          <w:rFonts w:ascii="宋体" w:hAnsi="宋体"/>
          <w:b/>
          <w:color w:val="auto"/>
          <w:spacing w:val="6"/>
          <w:szCs w:val="21"/>
        </w:rPr>
      </w:pPr>
    </w:p>
    <w:p w14:paraId="0702B854">
      <w:pPr>
        <w:autoSpaceDE w:val="0"/>
        <w:autoSpaceDN w:val="0"/>
        <w:adjustRightInd w:val="0"/>
        <w:snapToGrid w:val="0"/>
        <w:spacing w:line="360" w:lineRule="auto"/>
        <w:ind w:firstLine="420" w:firstLineChars="200"/>
        <w:jc w:val="left"/>
        <w:rPr>
          <w:rFonts w:ascii="宋体" w:hAnsi="宋体" w:cs="宋体"/>
          <w:color w:val="auto"/>
          <w:kern w:val="0"/>
          <w:szCs w:val="21"/>
        </w:rPr>
      </w:pPr>
    </w:p>
    <w:p w14:paraId="462D975C">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投标人</w:t>
      </w:r>
      <w:r>
        <w:rPr>
          <w:rFonts w:hint="eastAsia" w:ascii="宋体" w:hAnsi="宋体" w:cs="宋体"/>
          <w:color w:val="auto"/>
          <w:kern w:val="0"/>
          <w:szCs w:val="21"/>
        </w:rPr>
        <w:t>名称）的法定代表人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（姓名、职务）为我方代理人。代理人根据授权，以我方名义签署、澄清、说明、补正、递交、撤回、修改</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ascii="宋体" w:hAnsi="宋体" w:cs="宋体"/>
          <w:color w:val="auto"/>
          <w:kern w:val="0"/>
          <w:szCs w:val="21"/>
        </w:rPr>
        <w:t>）</w:t>
      </w:r>
      <w:r>
        <w:rPr>
          <w:rFonts w:hint="eastAsia" w:ascii="宋体" w:hAnsi="宋体" w:cs="宋体"/>
          <w:color w:val="auto"/>
          <w:kern w:val="0"/>
          <w:szCs w:val="21"/>
        </w:rPr>
        <w:t>投标文件、签订合同和处理有关事宜，其法律后果由我方承担。</w:t>
      </w:r>
    </w:p>
    <w:p w14:paraId="46561D6F">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5B5BAAEA">
      <w:pPr>
        <w:adjustRightInd w:val="0"/>
        <w:snapToGrid w:val="0"/>
        <w:spacing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5D318D07">
      <w:pPr>
        <w:adjustRightInd w:val="0"/>
        <w:snapToGrid w:val="0"/>
        <w:spacing w:line="360" w:lineRule="auto"/>
        <w:ind w:firstLine="435"/>
        <w:rPr>
          <w:rFonts w:ascii="宋体" w:hAnsi="宋体" w:eastAsia="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2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5CDB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5C39C0B">
            <w:pPr>
              <w:adjustRightInd w:val="0"/>
              <w:snapToGrid w:val="0"/>
              <w:spacing w:line="360" w:lineRule="auto"/>
              <w:jc w:val="center"/>
              <w:rPr>
                <w:rFonts w:ascii="宋体" w:hAnsi="宋体"/>
                <w:color w:val="auto"/>
                <w:szCs w:val="21"/>
              </w:rPr>
            </w:pPr>
            <w:r>
              <w:rPr>
                <w:rFonts w:hint="eastAsia" w:ascii="宋体" w:hAnsi="宋体"/>
                <w:color w:val="auto"/>
                <w:szCs w:val="21"/>
              </w:rPr>
              <w:t>委托代理人身份证（正面）</w:t>
            </w:r>
            <w:r>
              <w:rPr>
                <w:rFonts w:hint="eastAsia" w:ascii="宋体" w:hAnsi="宋体" w:eastAsia="宋体" w:cs="微软雅黑"/>
                <w:color w:val="auto"/>
                <w:spacing w:val="-2"/>
                <w:kern w:val="0"/>
                <w:szCs w:val="21"/>
              </w:rPr>
              <w:t>复</w:t>
            </w:r>
            <w:r>
              <w:rPr>
                <w:rFonts w:hint="eastAsia" w:ascii="宋体" w:hAnsi="宋体" w:eastAsia="宋体" w:cs="微软雅黑"/>
                <w:color w:val="auto"/>
                <w:kern w:val="0"/>
                <w:szCs w:val="21"/>
              </w:rPr>
              <w:t>印</w:t>
            </w:r>
            <w:r>
              <w:rPr>
                <w:rFonts w:hint="eastAsia" w:ascii="宋体" w:hAnsi="宋体" w:eastAsia="宋体" w:cs="微软雅黑"/>
                <w:color w:val="auto"/>
                <w:spacing w:val="-2"/>
                <w:kern w:val="0"/>
                <w:szCs w:val="21"/>
              </w:rPr>
              <w:t>件</w:t>
            </w:r>
          </w:p>
        </w:tc>
        <w:tc>
          <w:tcPr>
            <w:tcW w:w="3899" w:type="dxa"/>
            <w:noWrap w:val="0"/>
            <w:vAlign w:val="center"/>
          </w:tcPr>
          <w:p w14:paraId="205F8A64">
            <w:pPr>
              <w:adjustRightInd w:val="0"/>
              <w:snapToGrid w:val="0"/>
              <w:spacing w:line="360" w:lineRule="auto"/>
              <w:jc w:val="center"/>
              <w:rPr>
                <w:rFonts w:ascii="宋体" w:hAnsi="宋体"/>
                <w:color w:val="auto"/>
                <w:szCs w:val="21"/>
              </w:rPr>
            </w:pPr>
            <w:r>
              <w:rPr>
                <w:rFonts w:hint="eastAsia" w:ascii="宋体" w:hAnsi="宋体"/>
                <w:color w:val="auto"/>
                <w:szCs w:val="21"/>
              </w:rPr>
              <w:t>委托代理人身份证（反面）</w:t>
            </w:r>
            <w:r>
              <w:rPr>
                <w:rFonts w:hint="eastAsia" w:ascii="宋体" w:hAnsi="宋体" w:eastAsia="宋体" w:cs="微软雅黑"/>
                <w:color w:val="auto"/>
                <w:spacing w:val="-2"/>
                <w:kern w:val="0"/>
                <w:szCs w:val="21"/>
              </w:rPr>
              <w:t>复</w:t>
            </w:r>
            <w:r>
              <w:rPr>
                <w:rFonts w:hint="eastAsia" w:ascii="宋体" w:hAnsi="宋体" w:eastAsia="宋体" w:cs="微软雅黑"/>
                <w:color w:val="auto"/>
                <w:kern w:val="0"/>
                <w:szCs w:val="21"/>
              </w:rPr>
              <w:t>印</w:t>
            </w:r>
            <w:r>
              <w:rPr>
                <w:rFonts w:hint="eastAsia" w:ascii="宋体" w:hAnsi="宋体" w:eastAsia="宋体" w:cs="微软雅黑"/>
                <w:color w:val="auto"/>
                <w:spacing w:val="-2"/>
                <w:kern w:val="0"/>
                <w:szCs w:val="21"/>
              </w:rPr>
              <w:t>件</w:t>
            </w:r>
          </w:p>
        </w:tc>
      </w:tr>
      <w:tr w14:paraId="7017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5F9325D8">
            <w:pPr>
              <w:adjustRightInd w:val="0"/>
              <w:snapToGrid w:val="0"/>
              <w:spacing w:line="360" w:lineRule="auto"/>
              <w:jc w:val="center"/>
              <w:rPr>
                <w:rFonts w:ascii="宋体" w:hAnsi="宋体"/>
                <w:color w:val="auto"/>
                <w:szCs w:val="21"/>
              </w:rPr>
            </w:pPr>
            <w:r>
              <w:rPr>
                <w:rFonts w:hint="eastAsia" w:ascii="宋体" w:hAnsi="宋体"/>
                <w:color w:val="auto"/>
                <w:szCs w:val="21"/>
              </w:rPr>
              <w:t>法定代表人身份证（正面）</w:t>
            </w:r>
            <w:r>
              <w:rPr>
                <w:rFonts w:hint="eastAsia" w:ascii="宋体" w:hAnsi="宋体" w:eastAsia="宋体" w:cs="微软雅黑"/>
                <w:color w:val="auto"/>
                <w:spacing w:val="-2"/>
                <w:kern w:val="0"/>
                <w:szCs w:val="21"/>
              </w:rPr>
              <w:t>复</w:t>
            </w:r>
            <w:r>
              <w:rPr>
                <w:rFonts w:hint="eastAsia" w:ascii="宋体" w:hAnsi="宋体" w:eastAsia="宋体" w:cs="微软雅黑"/>
                <w:color w:val="auto"/>
                <w:kern w:val="0"/>
                <w:szCs w:val="21"/>
              </w:rPr>
              <w:t>印</w:t>
            </w:r>
            <w:r>
              <w:rPr>
                <w:rFonts w:hint="eastAsia" w:ascii="宋体" w:hAnsi="宋体" w:eastAsia="宋体" w:cs="微软雅黑"/>
                <w:color w:val="auto"/>
                <w:spacing w:val="-2"/>
                <w:kern w:val="0"/>
                <w:szCs w:val="21"/>
              </w:rPr>
              <w:t>件</w:t>
            </w:r>
          </w:p>
        </w:tc>
        <w:tc>
          <w:tcPr>
            <w:tcW w:w="3899" w:type="dxa"/>
            <w:noWrap w:val="0"/>
            <w:vAlign w:val="center"/>
          </w:tcPr>
          <w:p w14:paraId="4ED98793">
            <w:pPr>
              <w:adjustRightInd w:val="0"/>
              <w:snapToGrid w:val="0"/>
              <w:spacing w:line="360" w:lineRule="auto"/>
              <w:jc w:val="center"/>
              <w:rPr>
                <w:rFonts w:ascii="宋体" w:hAnsi="宋体"/>
                <w:color w:val="auto"/>
                <w:szCs w:val="21"/>
              </w:rPr>
            </w:pPr>
            <w:r>
              <w:rPr>
                <w:rFonts w:hint="eastAsia" w:ascii="宋体" w:hAnsi="宋体"/>
                <w:color w:val="auto"/>
                <w:szCs w:val="21"/>
              </w:rPr>
              <w:t>法定代表人身份证（反面）</w:t>
            </w:r>
            <w:r>
              <w:rPr>
                <w:rFonts w:hint="eastAsia" w:ascii="宋体" w:hAnsi="宋体" w:eastAsia="宋体" w:cs="微软雅黑"/>
                <w:color w:val="auto"/>
                <w:spacing w:val="-2"/>
                <w:kern w:val="0"/>
                <w:szCs w:val="21"/>
              </w:rPr>
              <w:t>复</w:t>
            </w:r>
            <w:r>
              <w:rPr>
                <w:rFonts w:hint="eastAsia" w:ascii="宋体" w:hAnsi="宋体" w:eastAsia="宋体" w:cs="微软雅黑"/>
                <w:color w:val="auto"/>
                <w:kern w:val="0"/>
                <w:szCs w:val="21"/>
              </w:rPr>
              <w:t>印</w:t>
            </w:r>
            <w:r>
              <w:rPr>
                <w:rFonts w:hint="eastAsia" w:ascii="宋体" w:hAnsi="宋体" w:eastAsia="宋体" w:cs="微软雅黑"/>
                <w:color w:val="auto"/>
                <w:spacing w:val="-2"/>
                <w:kern w:val="0"/>
                <w:szCs w:val="21"/>
              </w:rPr>
              <w:t>件</w:t>
            </w:r>
          </w:p>
        </w:tc>
      </w:tr>
    </w:tbl>
    <w:p w14:paraId="2548B05C">
      <w:pPr>
        <w:adjustRightInd w:val="0"/>
        <w:snapToGrid w:val="0"/>
        <w:spacing w:line="360" w:lineRule="auto"/>
        <w:ind w:firstLine="420" w:firstLineChars="200"/>
        <w:rPr>
          <w:rFonts w:ascii="宋体" w:hAnsi="宋体"/>
          <w:color w:val="auto"/>
          <w:szCs w:val="21"/>
        </w:rPr>
      </w:pPr>
    </w:p>
    <w:p w14:paraId="1816C379">
      <w:pPr>
        <w:adjustRightInd w:val="0"/>
        <w:snapToGrid w:val="0"/>
        <w:spacing w:line="360" w:lineRule="auto"/>
        <w:ind w:firstLine="420" w:firstLineChars="200"/>
        <w:rPr>
          <w:rFonts w:ascii="宋体" w:hAnsi="宋体"/>
          <w:color w:val="auto"/>
          <w:szCs w:val="21"/>
        </w:rPr>
      </w:pPr>
    </w:p>
    <w:p w14:paraId="6E7723CB">
      <w:pPr>
        <w:adjustRightInd w:val="0"/>
        <w:snapToGrid w:val="0"/>
        <w:spacing w:line="360" w:lineRule="auto"/>
        <w:rPr>
          <w:rFonts w:ascii="宋体" w:hAnsi="宋体"/>
          <w:color w:val="auto"/>
          <w:szCs w:val="21"/>
        </w:rPr>
      </w:pPr>
      <w:r>
        <w:rPr>
          <w:rFonts w:hint="eastAsia" w:ascii="宋体" w:hAnsi="宋体"/>
          <w:color w:val="auto"/>
          <w:szCs w:val="21"/>
        </w:rPr>
        <w:t>注：投标人代表不是投标人的法定代表人（单位负责人）的提供。</w:t>
      </w:r>
    </w:p>
    <w:p w14:paraId="60CA1CBA">
      <w:pPr>
        <w:adjustRightInd w:val="0"/>
        <w:snapToGrid w:val="0"/>
        <w:spacing w:line="360" w:lineRule="auto"/>
        <w:ind w:firstLine="420" w:firstLineChars="200"/>
        <w:rPr>
          <w:rFonts w:ascii="宋体" w:hAnsi="宋体"/>
          <w:color w:val="auto"/>
          <w:szCs w:val="21"/>
        </w:rPr>
      </w:pPr>
    </w:p>
    <w:p w14:paraId="30D0AD43">
      <w:pPr>
        <w:adjustRightInd w:val="0"/>
        <w:snapToGrid w:val="0"/>
        <w:spacing w:line="360" w:lineRule="auto"/>
        <w:ind w:firstLine="420" w:firstLineChars="200"/>
        <w:rPr>
          <w:rFonts w:ascii="宋体" w:hAnsi="宋体"/>
          <w:color w:val="auto"/>
          <w:szCs w:val="21"/>
        </w:rPr>
      </w:pPr>
    </w:p>
    <w:p w14:paraId="469CFA47">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1D832B74">
      <w:pPr>
        <w:adjustRightInd w:val="0"/>
        <w:snapToGrid w:val="0"/>
        <w:spacing w:line="360" w:lineRule="auto"/>
        <w:ind w:right="420"/>
        <w:rPr>
          <w:rFonts w:ascii="宋体" w:hAnsi="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color w:val="auto"/>
          <w:szCs w:val="21"/>
        </w:rPr>
        <w:t>（签字或印章）：</w:t>
      </w:r>
      <w:r>
        <w:rPr>
          <w:rFonts w:hint="eastAsia" w:ascii="宋体" w:hAnsi="宋体"/>
          <w:color w:val="auto"/>
          <w:szCs w:val="21"/>
          <w:u w:val="single"/>
        </w:rPr>
        <w:t xml:space="preserve">                     </w:t>
      </w:r>
    </w:p>
    <w:p w14:paraId="6457F057">
      <w:pPr>
        <w:adjustRightInd w:val="0"/>
        <w:snapToGrid w:val="0"/>
        <w:spacing w:line="360" w:lineRule="auto"/>
        <w:ind w:right="420"/>
        <w:rPr>
          <w:rFonts w:ascii="宋体" w:hAnsi="宋体"/>
          <w:color w:val="auto"/>
          <w:szCs w:val="21"/>
        </w:rPr>
      </w:pPr>
      <w:r>
        <w:rPr>
          <w:rFonts w:hint="eastAsia" w:ascii="宋体" w:hAnsi="宋体"/>
          <w:color w:val="auto"/>
          <w:szCs w:val="21"/>
        </w:rPr>
        <w:t>委托代理人（签字或印章）：</w:t>
      </w:r>
      <w:r>
        <w:rPr>
          <w:rFonts w:hint="eastAsia" w:ascii="宋体" w:hAnsi="宋体"/>
          <w:color w:val="auto"/>
          <w:szCs w:val="21"/>
          <w:u w:val="single"/>
        </w:rPr>
        <w:t xml:space="preserve">                     </w:t>
      </w:r>
    </w:p>
    <w:p w14:paraId="6F503999">
      <w:pPr>
        <w:adjustRightInd w:val="0"/>
        <w:snapToGrid w:val="0"/>
        <w:spacing w:line="360" w:lineRule="auto"/>
        <w:ind w:right="420"/>
        <w:rPr>
          <w:rFonts w:ascii="宋体" w:hAnsi="宋体"/>
          <w:color w:val="auto"/>
          <w:szCs w:val="21"/>
        </w:rPr>
      </w:pPr>
      <w:r>
        <w:rPr>
          <w:rFonts w:hint="eastAsia" w:ascii="宋体" w:hAnsi="宋体" w:eastAsia="宋体" w:cs="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3CF4A3C">
      <w:pPr>
        <w:adjustRightInd w:val="0"/>
        <w:snapToGrid w:val="0"/>
        <w:spacing w:line="360" w:lineRule="auto"/>
        <w:jc w:val="left"/>
        <w:rPr>
          <w:rFonts w:ascii="黑体" w:hAnsi="黑体" w:eastAsia="黑体"/>
          <w:bCs/>
          <w:color w:val="auto"/>
          <w:sz w:val="28"/>
          <w:szCs w:val="28"/>
        </w:rPr>
      </w:pPr>
      <w:r>
        <w:rPr>
          <w:rFonts w:ascii="黑体" w:hAnsi="黑体" w:eastAsia="黑体"/>
          <w:bCs/>
          <w:color w:val="auto"/>
          <w:sz w:val="28"/>
          <w:szCs w:val="28"/>
        </w:rPr>
        <w:br w:type="page"/>
      </w:r>
    </w:p>
    <w:p w14:paraId="101B3FCB">
      <w:pPr>
        <w:pStyle w:val="6"/>
        <w:adjustRightInd w:val="0"/>
        <w:snapToGrid w:val="0"/>
        <w:spacing w:before="0" w:after="0" w:line="360" w:lineRule="auto"/>
        <w:jc w:val="center"/>
        <w:rPr>
          <w:rFonts w:hint="default" w:ascii="黑体" w:hAnsi="宋体" w:eastAsia="黑体"/>
          <w:color w:val="auto"/>
          <w:sz w:val="28"/>
          <w:szCs w:val="28"/>
          <w:lang w:val="en-US" w:eastAsia="zh-CN"/>
        </w:rPr>
      </w:pPr>
      <w:bookmarkStart w:id="78" w:name="_Toc11741"/>
      <w:r>
        <w:rPr>
          <w:rFonts w:hint="eastAsia" w:ascii="黑体" w:hAnsi="宋体" w:eastAsia="黑体"/>
          <w:color w:val="auto"/>
          <w:sz w:val="28"/>
          <w:szCs w:val="28"/>
          <w:lang w:eastAsia="zh-CN"/>
        </w:rPr>
        <w:t>三</w:t>
      </w:r>
      <w:r>
        <w:rPr>
          <w:rFonts w:hint="eastAsia" w:ascii="黑体" w:hAnsi="宋体" w:eastAsia="黑体"/>
          <w:color w:val="auto"/>
          <w:sz w:val="28"/>
          <w:szCs w:val="28"/>
        </w:rPr>
        <w:t>、投标人提供的资格证明文件</w:t>
      </w:r>
      <w:bookmarkEnd w:id="78"/>
      <w:bookmarkStart w:id="79" w:name="_Toc294206743"/>
      <w:bookmarkStart w:id="80" w:name="_Toc294186060"/>
    </w:p>
    <w:p w14:paraId="78A1D57C">
      <w:pPr>
        <w:pStyle w:val="15"/>
        <w:adjustRightInd w:val="0"/>
        <w:snapToGrid w:val="0"/>
        <w:spacing w:line="360" w:lineRule="auto"/>
        <w:jc w:val="center"/>
        <w:rPr>
          <w:rFonts w:hAnsi="宋体" w:cs="Times New Roman"/>
          <w:b/>
          <w:bCs/>
          <w:color w:val="auto"/>
          <w:sz w:val="24"/>
          <w:szCs w:val="24"/>
        </w:rPr>
      </w:pPr>
    </w:p>
    <w:p w14:paraId="201A6E7C">
      <w:pPr>
        <w:pStyle w:val="15"/>
        <w:adjustRightInd w:val="0"/>
        <w:snapToGrid w:val="0"/>
        <w:spacing w:line="360" w:lineRule="auto"/>
        <w:jc w:val="center"/>
        <w:rPr>
          <w:rFonts w:ascii="黑体" w:hAnsi="黑体" w:eastAsia="黑体" w:cs="Times New Roman"/>
          <w:b/>
          <w:bCs/>
          <w:color w:val="auto"/>
          <w:sz w:val="28"/>
          <w:szCs w:val="28"/>
        </w:rPr>
      </w:pPr>
      <w:r>
        <w:rPr>
          <w:rFonts w:hint="eastAsia" w:ascii="黑体" w:hAnsi="黑体" w:eastAsia="黑体" w:cs="Times New Roman"/>
          <w:b/>
          <w:bCs/>
          <w:color w:val="auto"/>
          <w:sz w:val="28"/>
          <w:szCs w:val="28"/>
        </w:rPr>
        <w:t>须  知</w:t>
      </w:r>
    </w:p>
    <w:p w14:paraId="431BC9A3">
      <w:pPr>
        <w:tabs>
          <w:tab w:val="left" w:pos="4725"/>
        </w:tabs>
        <w:adjustRightInd w:val="0"/>
        <w:snapToGrid w:val="0"/>
        <w:spacing w:before="156" w:beforeLines="50" w:line="360" w:lineRule="auto"/>
        <w:ind w:firstLine="422" w:firstLineChars="200"/>
        <w:rPr>
          <w:rFonts w:ascii="宋体" w:hAnsi="宋体"/>
          <w:b/>
          <w:bCs/>
          <w:color w:val="auto"/>
          <w:szCs w:val="21"/>
        </w:rPr>
      </w:pPr>
      <w:r>
        <w:rPr>
          <w:rFonts w:hint="eastAsia" w:ascii="宋体" w:hAnsi="宋体"/>
          <w:b/>
          <w:color w:val="auto"/>
          <w:szCs w:val="21"/>
        </w:rPr>
        <w:t>1、投标人</w:t>
      </w:r>
      <w:r>
        <w:rPr>
          <w:rFonts w:hint="eastAsia" w:ascii="宋体" w:hAnsi="宋体"/>
          <w:b/>
          <w:bCs/>
          <w:color w:val="auto"/>
          <w:szCs w:val="21"/>
        </w:rPr>
        <w:t>应按</w:t>
      </w:r>
      <w:r>
        <w:rPr>
          <w:rFonts w:hint="eastAsia" w:ascii="宋体" w:hAnsi="宋体"/>
          <w:b/>
          <w:bCs/>
          <w:color w:val="auto"/>
          <w:szCs w:val="21"/>
          <w:lang w:eastAsia="zh-CN"/>
        </w:rPr>
        <w:t>公告</w:t>
      </w:r>
      <w:r>
        <w:rPr>
          <w:rFonts w:hint="eastAsia" w:ascii="宋体" w:hAnsi="宋体"/>
          <w:b/>
          <w:bCs/>
          <w:color w:val="auto"/>
          <w:szCs w:val="21"/>
        </w:rPr>
        <w:t>要求提供下列的证明材料</w:t>
      </w:r>
    </w:p>
    <w:p w14:paraId="0F6A0B07">
      <w:pPr>
        <w:tabs>
          <w:tab w:val="left" w:pos="4725"/>
        </w:tabs>
        <w:adjustRightInd w:val="0"/>
        <w:snapToGrid w:val="0"/>
        <w:spacing w:before="156" w:beforeLines="50" w:line="360" w:lineRule="auto"/>
        <w:ind w:firstLine="735" w:firstLineChars="350"/>
        <w:rPr>
          <w:rFonts w:ascii="宋体" w:hAnsi="宋体" w:eastAsia="宋体"/>
          <w:color w:val="auto"/>
          <w:szCs w:val="21"/>
        </w:rPr>
      </w:pPr>
      <w:r>
        <w:rPr>
          <w:rFonts w:hint="eastAsia" w:ascii="宋体" w:hAnsi="宋体" w:eastAsia="宋体"/>
          <w:color w:val="auto"/>
          <w:szCs w:val="21"/>
        </w:rPr>
        <w:t>附件4-1 法人或者其他组织的营业执照等主体资格证明文件，自然人的身份证明</w:t>
      </w:r>
    </w:p>
    <w:p w14:paraId="4ACBC8F0">
      <w:pPr>
        <w:tabs>
          <w:tab w:val="left" w:pos="4725"/>
        </w:tabs>
        <w:adjustRightInd w:val="0"/>
        <w:snapToGrid w:val="0"/>
        <w:spacing w:before="156" w:beforeLines="50" w:line="360" w:lineRule="auto"/>
        <w:ind w:firstLine="735" w:firstLineChars="350"/>
        <w:rPr>
          <w:rFonts w:ascii="宋体" w:hAnsi="宋体" w:eastAsia="宋体"/>
          <w:color w:val="auto"/>
          <w:szCs w:val="21"/>
        </w:rPr>
      </w:pPr>
      <w:r>
        <w:rPr>
          <w:rFonts w:hint="eastAsia" w:ascii="宋体" w:hAnsi="宋体" w:eastAsia="宋体"/>
          <w:color w:val="auto"/>
          <w:szCs w:val="21"/>
        </w:rPr>
        <w:t>附件4-2 湖南省政府采购供应商资格承诺函(格式)</w:t>
      </w:r>
    </w:p>
    <w:p w14:paraId="1B683C3D">
      <w:pPr>
        <w:tabs>
          <w:tab w:val="left" w:pos="4725"/>
        </w:tabs>
        <w:adjustRightInd w:val="0"/>
        <w:snapToGrid w:val="0"/>
        <w:spacing w:before="156" w:beforeLines="50" w:line="360" w:lineRule="auto"/>
        <w:ind w:firstLine="735" w:firstLineChars="350"/>
        <w:rPr>
          <w:rFonts w:ascii="宋体" w:hAnsi="宋体" w:eastAsia="宋体"/>
          <w:color w:val="auto"/>
          <w:szCs w:val="21"/>
        </w:rPr>
      </w:pPr>
      <w:r>
        <w:rPr>
          <w:rFonts w:hint="eastAsia" w:ascii="宋体" w:hAnsi="宋体" w:eastAsia="宋体"/>
          <w:color w:val="auto"/>
          <w:szCs w:val="21"/>
        </w:rPr>
        <w:t>附件4-3 符合特定资格条件证明材料复印件或者情况说明</w:t>
      </w:r>
    </w:p>
    <w:p w14:paraId="17AE3C28">
      <w:pPr>
        <w:tabs>
          <w:tab w:val="left" w:pos="4725"/>
        </w:tabs>
        <w:adjustRightInd w:val="0"/>
        <w:snapToGrid w:val="0"/>
        <w:spacing w:before="156" w:beforeLines="50" w:line="360" w:lineRule="auto"/>
        <w:ind w:firstLine="735" w:firstLineChars="350"/>
        <w:rPr>
          <w:rFonts w:hint="eastAsia" w:ascii="宋体" w:hAnsi="宋体" w:eastAsia="宋体"/>
          <w:color w:val="auto"/>
          <w:szCs w:val="21"/>
        </w:rPr>
      </w:pPr>
      <w:r>
        <w:rPr>
          <w:rFonts w:hint="eastAsia" w:ascii="宋体" w:hAnsi="宋体" w:eastAsia="宋体"/>
          <w:color w:val="auto"/>
          <w:szCs w:val="21"/>
        </w:rPr>
        <w:t>附件4-4 联合体协议书（格式）（联合体形式投标的提供）</w:t>
      </w:r>
    </w:p>
    <w:p w14:paraId="781B624B">
      <w:pPr>
        <w:tabs>
          <w:tab w:val="left" w:pos="4725"/>
        </w:tabs>
        <w:adjustRightInd w:val="0"/>
        <w:snapToGrid w:val="0"/>
        <w:spacing w:before="156" w:beforeLines="50" w:line="360" w:lineRule="auto"/>
        <w:ind w:firstLine="420" w:firstLineChars="200"/>
        <w:rPr>
          <w:rFonts w:ascii="宋体" w:hAnsi="宋体" w:eastAsia="宋体" w:cs="宋体"/>
          <w:color w:val="auto"/>
          <w:szCs w:val="21"/>
        </w:rPr>
      </w:pPr>
      <w:r>
        <w:rPr>
          <w:rFonts w:hint="eastAsia" w:ascii="宋体" w:hAnsi="宋体" w:eastAsia="宋体"/>
          <w:color w:val="auto"/>
          <w:szCs w:val="21"/>
        </w:rPr>
        <w:t>2、</w:t>
      </w:r>
      <w:r>
        <w:rPr>
          <w:rFonts w:hint="eastAsia" w:ascii="宋体" w:hAnsi="宋体" w:eastAsia="宋体" w:cs="宋体"/>
          <w:color w:val="auto"/>
          <w:szCs w:val="21"/>
        </w:rPr>
        <w:t>投标人以联合体形式投标的，除应提交联合协议书(本节附4-4)外，参加联合体的各方均应提交上款资格证明材料。</w:t>
      </w:r>
    </w:p>
    <w:p w14:paraId="3FA94B08">
      <w:pPr>
        <w:tabs>
          <w:tab w:val="left" w:pos="4725"/>
        </w:tabs>
        <w:adjustRightInd w:val="0"/>
        <w:snapToGrid w:val="0"/>
        <w:spacing w:before="156" w:beforeLines="50" w:line="360" w:lineRule="auto"/>
        <w:ind w:firstLine="420" w:firstLineChars="200"/>
        <w:rPr>
          <w:rFonts w:hint="default" w:ascii="宋体" w:hAnsi="宋体" w:eastAsia="宋体"/>
          <w:color w:val="auto"/>
          <w:szCs w:val="21"/>
          <w:lang w:val="en-US" w:eastAsia="zh-CN"/>
        </w:rPr>
      </w:pPr>
      <w:r>
        <w:rPr>
          <w:rFonts w:hint="eastAsia" w:ascii="宋体" w:hAnsi="宋体" w:eastAsia="宋体"/>
          <w:color w:val="auto"/>
          <w:szCs w:val="21"/>
        </w:rPr>
        <w:t>3、</w:t>
      </w:r>
      <w:r>
        <w:rPr>
          <w:rFonts w:hint="eastAsia" w:ascii="宋体" w:hAnsi="宋体"/>
          <w:color w:val="auto"/>
          <w:szCs w:val="21"/>
          <w:lang w:eastAsia="zh-CN"/>
        </w:rPr>
        <w:t>供应商认为应该提交的其他资格证明文件。</w:t>
      </w:r>
    </w:p>
    <w:p w14:paraId="131A0CF9">
      <w:pPr>
        <w:pStyle w:val="32"/>
        <w:rPr>
          <w:color w:val="auto"/>
        </w:rPr>
      </w:pPr>
    </w:p>
    <w:p w14:paraId="171B46CE">
      <w:pPr>
        <w:tabs>
          <w:tab w:val="left" w:pos="4725"/>
        </w:tabs>
        <w:adjustRightInd w:val="0"/>
        <w:snapToGrid w:val="0"/>
        <w:spacing w:line="360" w:lineRule="auto"/>
        <w:rPr>
          <w:rFonts w:ascii="宋体" w:hAnsi="宋体" w:eastAsia="宋体" w:cs="宋体"/>
          <w:color w:val="auto"/>
          <w:szCs w:val="21"/>
        </w:rPr>
      </w:pPr>
    </w:p>
    <w:p w14:paraId="18584C4D">
      <w:pPr>
        <w:widowControl/>
        <w:adjustRightInd w:val="0"/>
        <w:snapToGrid w:val="0"/>
        <w:spacing w:line="360" w:lineRule="auto"/>
        <w:jc w:val="left"/>
        <w:rPr>
          <w:rFonts w:ascii="黑体" w:hAnsi="仿宋" w:eastAsia="黑体" w:cs="宋体"/>
          <w:color w:val="auto"/>
          <w:sz w:val="10"/>
          <w:szCs w:val="10"/>
        </w:rPr>
      </w:pPr>
      <w:r>
        <w:rPr>
          <w:rFonts w:ascii="黑体" w:hAnsi="仿宋" w:eastAsia="黑体" w:cs="宋体"/>
          <w:color w:val="auto"/>
          <w:szCs w:val="21"/>
        </w:rPr>
        <w:br w:type="page"/>
      </w:r>
    </w:p>
    <w:p w14:paraId="286A9D52">
      <w:pPr>
        <w:pStyle w:val="7"/>
        <w:rPr>
          <w:rFonts w:ascii="黑体" w:hAnsi="仿宋" w:cs="宋体"/>
          <w:b w:val="0"/>
          <w:color w:val="auto"/>
          <w:sz w:val="21"/>
          <w:szCs w:val="21"/>
        </w:rPr>
      </w:pPr>
      <w:bookmarkStart w:id="81" w:name="_Toc590"/>
      <w:r>
        <w:rPr>
          <w:rFonts w:hint="eastAsia" w:ascii="黑体" w:hAnsi="仿宋" w:cs="宋体"/>
          <w:b w:val="0"/>
          <w:color w:val="auto"/>
          <w:sz w:val="21"/>
          <w:szCs w:val="21"/>
        </w:rPr>
        <w:t>附件4-1 法人或者其他组织的营业执照等主体资格证明文件，自然人的身份证明</w:t>
      </w:r>
      <w:bookmarkEnd w:id="81"/>
    </w:p>
    <w:p w14:paraId="31E2E240">
      <w:pPr>
        <w:widowControl/>
        <w:adjustRightInd w:val="0"/>
        <w:snapToGrid w:val="0"/>
        <w:spacing w:line="360" w:lineRule="auto"/>
        <w:jc w:val="center"/>
        <w:rPr>
          <w:rFonts w:ascii="黑体" w:hAnsi="仿宋" w:eastAsia="黑体" w:cs="宋体"/>
          <w:b/>
          <w:color w:val="auto"/>
          <w:sz w:val="28"/>
          <w:szCs w:val="28"/>
        </w:rPr>
      </w:pPr>
      <w:r>
        <w:rPr>
          <w:rFonts w:hint="eastAsia" w:ascii="黑体" w:hAnsi="仿宋" w:eastAsia="黑体" w:cs="宋体"/>
          <w:b/>
          <w:color w:val="auto"/>
          <w:sz w:val="28"/>
          <w:szCs w:val="28"/>
        </w:rPr>
        <w:t>法人或者其他组织的营业执照等主体资格证明文件，自然人的身份证明</w:t>
      </w:r>
    </w:p>
    <w:p w14:paraId="1E17937C">
      <w:pPr>
        <w:widowControl/>
        <w:adjustRightInd w:val="0"/>
        <w:snapToGrid w:val="0"/>
        <w:spacing w:before="156" w:beforeLines="50" w:line="360" w:lineRule="auto"/>
        <w:ind w:firstLine="420" w:firstLineChars="200"/>
        <w:jc w:val="left"/>
        <w:rPr>
          <w:rFonts w:ascii="宋体" w:hAnsi="宋体" w:eastAsia="宋体" w:cs="宋体"/>
          <w:color w:val="auto"/>
          <w:szCs w:val="21"/>
        </w:rPr>
      </w:pPr>
    </w:p>
    <w:p w14:paraId="73654A66">
      <w:pPr>
        <w:adjustRightInd w:val="0"/>
        <w:snapToGrid w:val="0"/>
        <w:spacing w:before="156" w:beforeLines="50" w:line="360" w:lineRule="auto"/>
        <w:ind w:firstLine="420" w:firstLineChars="200"/>
        <w:rPr>
          <w:rFonts w:ascii="宋体" w:hAnsi="宋体"/>
          <w:color w:val="auto"/>
        </w:rPr>
      </w:pPr>
      <w:r>
        <w:rPr>
          <w:rFonts w:hint="eastAsia" w:ascii="宋体" w:hAnsi="宋体" w:eastAsia="宋体" w:cs="宋体"/>
          <w:color w:val="auto"/>
          <w:szCs w:val="21"/>
        </w:rPr>
        <w:t>（1）</w:t>
      </w:r>
      <w:r>
        <w:rPr>
          <w:rFonts w:hint="eastAsia" w:ascii="宋体" w:hAnsi="宋体"/>
          <w:color w:val="auto"/>
        </w:rPr>
        <w:t>投标人为法人的，应提交营业执照或法人登记证书的复印件；</w:t>
      </w:r>
    </w:p>
    <w:p w14:paraId="5FF9DFA2">
      <w:pPr>
        <w:adjustRightInd w:val="0"/>
        <w:snapToGrid w:val="0"/>
        <w:spacing w:before="156" w:beforeLines="50" w:line="360" w:lineRule="auto"/>
        <w:ind w:firstLine="420" w:firstLineChars="200"/>
        <w:rPr>
          <w:rFonts w:ascii="宋体" w:hAnsi="宋体"/>
          <w:color w:val="auto"/>
        </w:rPr>
      </w:pPr>
      <w:r>
        <w:rPr>
          <w:rFonts w:hint="eastAsia" w:ascii="宋体" w:hAnsi="宋体" w:eastAsia="宋体" w:cs="宋体"/>
          <w:color w:val="auto"/>
          <w:szCs w:val="21"/>
        </w:rPr>
        <w:t>（2）</w:t>
      </w:r>
      <w:r>
        <w:rPr>
          <w:rFonts w:hint="eastAsia" w:ascii="宋体" w:hAnsi="宋体"/>
          <w:color w:val="auto"/>
        </w:rPr>
        <w:t>投标人为非法人组织的，应提交依法登记证书复印件；</w:t>
      </w:r>
    </w:p>
    <w:p w14:paraId="7A5FE764">
      <w:pPr>
        <w:adjustRightInd w:val="0"/>
        <w:snapToGrid w:val="0"/>
        <w:spacing w:before="156" w:beforeLines="50" w:line="360" w:lineRule="auto"/>
        <w:ind w:firstLine="420" w:firstLineChars="200"/>
        <w:rPr>
          <w:rFonts w:ascii="宋体" w:hAnsi="宋体"/>
          <w:color w:val="auto"/>
        </w:rPr>
      </w:pPr>
      <w:r>
        <w:rPr>
          <w:rFonts w:hint="eastAsia" w:ascii="宋体" w:hAnsi="宋体" w:eastAsia="宋体" w:cs="宋体"/>
          <w:color w:val="auto"/>
          <w:szCs w:val="21"/>
        </w:rPr>
        <w:t>（3）</w:t>
      </w:r>
      <w:r>
        <w:rPr>
          <w:rFonts w:hint="eastAsia" w:ascii="宋体" w:hAnsi="宋体"/>
          <w:color w:val="auto"/>
        </w:rPr>
        <w:t>投标人为个体工商户的，应提交个体工商户营业执照复印件；</w:t>
      </w:r>
    </w:p>
    <w:p w14:paraId="69EE9E70">
      <w:pPr>
        <w:adjustRightInd w:val="0"/>
        <w:snapToGrid w:val="0"/>
        <w:spacing w:before="156" w:beforeLines="50" w:line="360" w:lineRule="auto"/>
        <w:ind w:firstLine="420" w:firstLineChars="200"/>
        <w:rPr>
          <w:rFonts w:ascii="宋体" w:hAnsi="宋体"/>
          <w:color w:val="auto"/>
        </w:rPr>
      </w:pPr>
      <w:r>
        <w:rPr>
          <w:rFonts w:hint="eastAsia" w:ascii="宋体" w:hAnsi="宋体" w:eastAsia="宋体" w:cs="宋体"/>
          <w:color w:val="auto"/>
          <w:szCs w:val="21"/>
        </w:rPr>
        <w:t>（4）</w:t>
      </w:r>
      <w:r>
        <w:rPr>
          <w:rFonts w:hint="eastAsia" w:ascii="宋体" w:hAnsi="宋体"/>
          <w:color w:val="auto"/>
        </w:rPr>
        <w:t>投标人为自然人的，应提交自然人的身份证明复印件。</w:t>
      </w:r>
    </w:p>
    <w:p w14:paraId="38A5D85E">
      <w:pPr>
        <w:adjustRightInd w:val="0"/>
        <w:snapToGrid w:val="0"/>
        <w:spacing w:before="156" w:beforeLines="50" w:line="360" w:lineRule="auto"/>
        <w:ind w:firstLine="420" w:firstLineChars="200"/>
        <w:rPr>
          <w:rFonts w:ascii="宋体" w:hAnsi="宋体"/>
          <w:color w:val="auto"/>
        </w:rPr>
      </w:pPr>
    </w:p>
    <w:p w14:paraId="0E510F72">
      <w:pPr>
        <w:widowControl/>
        <w:jc w:val="left"/>
        <w:rPr>
          <w:rFonts w:ascii="黑体" w:hAnsi="仿宋" w:eastAsia="黑体" w:cs="宋体"/>
          <w:bCs/>
          <w:color w:val="auto"/>
          <w:sz w:val="10"/>
          <w:szCs w:val="10"/>
        </w:rPr>
      </w:pPr>
      <w:r>
        <w:rPr>
          <w:rFonts w:ascii="黑体" w:hAnsi="仿宋" w:cs="宋体"/>
          <w:b/>
          <w:color w:val="auto"/>
          <w:szCs w:val="21"/>
        </w:rPr>
        <w:br w:type="page"/>
      </w:r>
    </w:p>
    <w:p w14:paraId="0D0F480D">
      <w:pPr>
        <w:pStyle w:val="7"/>
        <w:adjustRightInd w:val="0"/>
        <w:snapToGrid w:val="0"/>
        <w:spacing w:before="156" w:beforeLines="50" w:after="0" w:line="360" w:lineRule="auto"/>
        <w:rPr>
          <w:rFonts w:ascii="黑体" w:hAnsi="仿宋" w:cs="宋体"/>
          <w:b w:val="0"/>
          <w:color w:val="auto"/>
          <w:sz w:val="21"/>
          <w:szCs w:val="21"/>
        </w:rPr>
      </w:pPr>
      <w:bookmarkStart w:id="82" w:name="_Toc24449"/>
      <w:r>
        <w:rPr>
          <w:rFonts w:hint="eastAsia" w:ascii="黑体" w:hAnsi="仿宋" w:cs="宋体"/>
          <w:b w:val="0"/>
          <w:color w:val="auto"/>
          <w:sz w:val="21"/>
          <w:szCs w:val="21"/>
        </w:rPr>
        <w:t>附件4-2 湖南省政府采购供应商资格承诺函(格式)</w:t>
      </w:r>
      <w:bookmarkEnd w:id="82"/>
    </w:p>
    <w:p w14:paraId="29E03954">
      <w:pPr>
        <w:widowControl/>
        <w:adjustRightInd w:val="0"/>
        <w:snapToGrid w:val="0"/>
        <w:spacing w:before="468" w:beforeLines="150" w:line="360" w:lineRule="auto"/>
        <w:jc w:val="center"/>
        <w:rPr>
          <w:rFonts w:ascii="宋体" w:hAnsi="宋体" w:eastAsia="宋体" w:cs="宋体"/>
          <w:color w:val="auto"/>
          <w:szCs w:val="21"/>
        </w:rPr>
      </w:pPr>
      <w:r>
        <w:rPr>
          <w:rFonts w:hint="eastAsia" w:ascii="黑体" w:hAnsi="仿宋" w:eastAsia="黑体" w:cs="宋体"/>
          <w:b/>
          <w:color w:val="auto"/>
          <w:sz w:val="28"/>
          <w:szCs w:val="28"/>
        </w:rPr>
        <w:t>湖南省政府采购供应商资格承诺函(格式)</w:t>
      </w:r>
    </w:p>
    <w:p w14:paraId="531DAECB">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75E135B">
      <w:pPr>
        <w:widowControl/>
        <w:spacing w:before="156" w:beforeLines="50" w:line="360" w:lineRule="auto"/>
        <w:ind w:firstLine="420" w:firstLineChars="200"/>
        <w:jc w:val="left"/>
        <w:rPr>
          <w:rFonts w:ascii="宋体" w:hAnsi="宋体" w:cs="宋体"/>
          <w:color w:val="auto"/>
          <w:szCs w:val="21"/>
        </w:rPr>
      </w:pPr>
    </w:p>
    <w:p w14:paraId="459AD1E2">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公司(单位)名称(盖章)：</w:t>
      </w:r>
    </w:p>
    <w:p w14:paraId="20C36462">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机构代码、注册登记机构、日期、有效期、注册资本、地 址、经济行业、经济性质</w:t>
      </w:r>
    </w:p>
    <w:p w14:paraId="66AB1711">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法定代表人(负责人)姓名(签字)、身份证号、手机号:</w:t>
      </w:r>
    </w:p>
    <w:p w14:paraId="5C261785">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授权代表人姓名(签字)、身份证号、手机号:</w:t>
      </w:r>
    </w:p>
    <w:p w14:paraId="142A6832">
      <w:pPr>
        <w:widowControl/>
        <w:spacing w:before="156" w:beforeLines="50" w:line="360" w:lineRule="auto"/>
        <w:ind w:firstLine="420" w:firstLineChars="200"/>
        <w:jc w:val="left"/>
        <w:rPr>
          <w:rFonts w:ascii="宋体" w:hAnsi="宋体" w:cs="宋体"/>
          <w:color w:val="auto"/>
          <w:szCs w:val="21"/>
        </w:rPr>
      </w:pPr>
    </w:p>
    <w:p w14:paraId="6785C7CC">
      <w:pPr>
        <w:widowControl/>
        <w:spacing w:beforeAutospacing="0" w:afterAutospacing="0" w:line="360" w:lineRule="auto"/>
        <w:ind w:firstLine="422" w:firstLineChars="200"/>
        <w:jc w:val="left"/>
        <w:rPr>
          <w:rFonts w:ascii="黑体" w:hAnsi="仿宋" w:eastAsia="黑体" w:cs="宋体"/>
          <w:bCs/>
          <w:color w:val="auto"/>
          <w:sz w:val="10"/>
          <w:szCs w:val="10"/>
        </w:rPr>
      </w:pPr>
      <w:r>
        <w:rPr>
          <w:rFonts w:ascii="黑体" w:hAnsi="仿宋" w:cs="宋体"/>
          <w:b/>
          <w:color w:val="auto"/>
          <w:szCs w:val="21"/>
        </w:rPr>
        <w:br w:type="page"/>
      </w:r>
    </w:p>
    <w:p w14:paraId="36564E4E">
      <w:pPr>
        <w:pStyle w:val="7"/>
        <w:spacing w:before="0" w:beforeAutospacing="0"/>
        <w:rPr>
          <w:rFonts w:ascii="黑体" w:hAnsi="仿宋" w:cs="宋体"/>
          <w:b w:val="0"/>
          <w:color w:val="auto"/>
          <w:sz w:val="21"/>
          <w:szCs w:val="21"/>
        </w:rPr>
      </w:pPr>
      <w:bookmarkStart w:id="83" w:name="_Toc13891"/>
      <w:r>
        <w:rPr>
          <w:rFonts w:hint="eastAsia" w:ascii="黑体" w:hAnsi="仿宋" w:cs="宋体"/>
          <w:b w:val="0"/>
          <w:color w:val="auto"/>
          <w:sz w:val="21"/>
          <w:szCs w:val="21"/>
        </w:rPr>
        <w:t>附件4-3 符合特定资格条件证明材料复印件或者情况说明</w:t>
      </w:r>
      <w:bookmarkEnd w:id="83"/>
    </w:p>
    <w:p w14:paraId="219030FF">
      <w:pPr>
        <w:widowControl/>
        <w:adjustRightInd w:val="0"/>
        <w:snapToGrid w:val="0"/>
        <w:spacing w:line="360" w:lineRule="auto"/>
        <w:jc w:val="center"/>
        <w:rPr>
          <w:rFonts w:ascii="黑体" w:hAnsi="仿宋" w:eastAsia="黑体" w:cs="宋体"/>
          <w:b/>
          <w:color w:val="auto"/>
          <w:sz w:val="28"/>
          <w:szCs w:val="28"/>
        </w:rPr>
      </w:pPr>
      <w:r>
        <w:rPr>
          <w:rFonts w:hint="eastAsia" w:ascii="黑体" w:hAnsi="仿宋" w:eastAsia="黑体" w:cs="宋体"/>
          <w:b/>
          <w:color w:val="auto"/>
          <w:sz w:val="28"/>
          <w:szCs w:val="28"/>
        </w:rPr>
        <w:t>符合特定资格条件证明材料复印件或者情况说明</w:t>
      </w:r>
    </w:p>
    <w:p w14:paraId="7BBE98C4">
      <w:pPr>
        <w:widowControl/>
        <w:adjustRightInd w:val="0"/>
        <w:snapToGrid w:val="0"/>
        <w:spacing w:line="360" w:lineRule="auto"/>
        <w:ind w:firstLine="560" w:firstLineChars="200"/>
        <w:jc w:val="left"/>
        <w:rPr>
          <w:rFonts w:ascii="黑体" w:hAnsi="仿宋" w:eastAsia="黑体" w:cs="宋体"/>
          <w:color w:val="auto"/>
          <w:sz w:val="28"/>
          <w:szCs w:val="28"/>
        </w:rPr>
      </w:pPr>
    </w:p>
    <w:p w14:paraId="10BD60D2">
      <w:pPr>
        <w:widowControl/>
        <w:spacing w:afterAutospacing="0"/>
        <w:jc w:val="left"/>
        <w:rPr>
          <w:rFonts w:ascii="黑体" w:hAnsi="仿宋" w:eastAsia="黑体" w:cs="宋体"/>
          <w:color w:val="auto"/>
          <w:sz w:val="10"/>
          <w:szCs w:val="10"/>
        </w:rPr>
      </w:pPr>
      <w:r>
        <w:rPr>
          <w:rFonts w:ascii="黑体" w:hAnsi="仿宋" w:eastAsia="黑体" w:cs="宋体"/>
          <w:color w:val="auto"/>
          <w:szCs w:val="21"/>
        </w:rPr>
        <w:br w:type="page"/>
      </w:r>
    </w:p>
    <w:p w14:paraId="0CF726D4">
      <w:pPr>
        <w:pStyle w:val="7"/>
        <w:spacing w:before="0" w:beforeAutospacing="0"/>
        <w:rPr>
          <w:rFonts w:ascii="黑体" w:hAnsi="宋体" w:cs="宋体"/>
          <w:b w:val="0"/>
          <w:color w:val="auto"/>
          <w:kern w:val="0"/>
          <w:sz w:val="21"/>
          <w:szCs w:val="21"/>
        </w:rPr>
      </w:pPr>
      <w:bookmarkStart w:id="84" w:name="_Toc11547"/>
      <w:r>
        <w:rPr>
          <w:rFonts w:hint="eastAsia" w:ascii="黑体" w:hAnsi="仿宋" w:cs="宋体"/>
          <w:b w:val="0"/>
          <w:color w:val="auto"/>
          <w:sz w:val="21"/>
          <w:szCs w:val="21"/>
        </w:rPr>
        <w:t>附件4-4 联合体协议书（格式）</w:t>
      </w:r>
      <w:bookmarkEnd w:id="84"/>
    </w:p>
    <w:p w14:paraId="20C4754E">
      <w:pPr>
        <w:adjustRightInd w:val="0"/>
        <w:snapToGrid w:val="0"/>
        <w:spacing w:line="360" w:lineRule="auto"/>
        <w:jc w:val="center"/>
        <w:rPr>
          <w:rFonts w:ascii="宋体" w:hAnsi="宋体" w:eastAsia="宋体"/>
          <w:b/>
          <w:color w:val="auto"/>
          <w:szCs w:val="21"/>
        </w:rPr>
      </w:pPr>
      <w:r>
        <w:rPr>
          <w:rFonts w:hint="eastAsia" w:ascii="黑体" w:hAnsi="仿宋" w:eastAsia="黑体" w:cs="宋体"/>
          <w:b/>
          <w:color w:val="auto"/>
          <w:sz w:val="28"/>
          <w:szCs w:val="28"/>
        </w:rPr>
        <w:t>联合体协议书（格式）</w:t>
      </w:r>
    </w:p>
    <w:p w14:paraId="3313A65B">
      <w:pPr>
        <w:adjustRightInd w:val="0"/>
        <w:snapToGrid w:val="0"/>
        <w:spacing w:line="360" w:lineRule="auto"/>
        <w:rPr>
          <w:rFonts w:ascii="宋体" w:hAnsi="宋体" w:eastAsia="宋体"/>
          <w:color w:val="auto"/>
          <w:szCs w:val="21"/>
        </w:rPr>
      </w:pPr>
    </w:p>
    <w:p w14:paraId="7491658A">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致</w:t>
      </w:r>
      <w:r>
        <w:rPr>
          <w:rFonts w:hint="eastAsia" w:ascii="宋体" w:hAnsi="宋体" w:eastAsia="宋体"/>
          <w:color w:val="auto"/>
          <w:szCs w:val="21"/>
          <w:u w:val="single"/>
        </w:rPr>
        <w:t xml:space="preserve">                   </w:t>
      </w:r>
      <w:r>
        <w:rPr>
          <w:rFonts w:hint="eastAsia" w:ascii="宋体" w:hAnsi="宋体" w:eastAsia="宋体"/>
          <w:color w:val="auto"/>
          <w:szCs w:val="21"/>
        </w:rPr>
        <w:t>（采购人）：</w:t>
      </w:r>
    </w:p>
    <w:p w14:paraId="3AFDA08C">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经研究，我们决定自愿组成联合体共同参加</w:t>
      </w:r>
      <w:r>
        <w:rPr>
          <w:rFonts w:hint="eastAsia" w:ascii="宋体" w:hAnsi="宋体" w:eastAsia="宋体"/>
          <w:color w:val="auto"/>
          <w:szCs w:val="21"/>
          <w:u w:val="single"/>
        </w:rPr>
        <w:t xml:space="preserve">                    </w:t>
      </w:r>
      <w:r>
        <w:rPr>
          <w:rFonts w:hint="eastAsia" w:ascii="宋体" w:hAnsi="宋体" w:eastAsia="宋体"/>
          <w:color w:val="auto"/>
          <w:szCs w:val="21"/>
        </w:rPr>
        <w:t>（项目名称</w:t>
      </w:r>
      <w:r>
        <w:rPr>
          <w:rFonts w:ascii="宋体" w:hAnsi="宋体" w:eastAsia="宋体"/>
          <w:color w:val="auto"/>
          <w:szCs w:val="21"/>
        </w:rPr>
        <w:t>）</w:t>
      </w:r>
      <w:r>
        <w:rPr>
          <w:rFonts w:hint="eastAsia" w:ascii="宋体" w:hAnsi="宋体" w:eastAsia="宋体"/>
          <w:color w:val="auto"/>
          <w:szCs w:val="21"/>
        </w:rPr>
        <w:t>项目的投标。现就联合体投标事宜订立如下协议：</w:t>
      </w:r>
    </w:p>
    <w:p w14:paraId="27172D71">
      <w:pPr>
        <w:adjustRightInd w:val="0"/>
        <w:snapToGrid w:val="0"/>
        <w:spacing w:line="360" w:lineRule="auto"/>
        <w:ind w:firstLine="420" w:firstLineChars="200"/>
        <w:rPr>
          <w:rFonts w:ascii="宋体" w:hAnsi="宋体" w:eastAsia="宋体"/>
          <w:color w:val="auto"/>
          <w:szCs w:val="21"/>
          <w:u w:val="single"/>
        </w:rPr>
      </w:pPr>
      <w:r>
        <w:rPr>
          <w:rFonts w:hint="eastAsia" w:ascii="宋体" w:hAnsi="宋体" w:eastAsia="宋体"/>
          <w:color w:val="auto"/>
          <w:szCs w:val="21"/>
        </w:rPr>
        <w:t>一、联合体基本信息：</w:t>
      </w:r>
      <w:r>
        <w:rPr>
          <w:rFonts w:hint="eastAsia" w:ascii="宋体" w:hAnsi="宋体" w:eastAsia="宋体"/>
          <w:color w:val="auto"/>
          <w:szCs w:val="21"/>
          <w:u w:val="single"/>
        </w:rPr>
        <w:t xml:space="preserve">                </w:t>
      </w:r>
      <w:r>
        <w:rPr>
          <w:rFonts w:hint="eastAsia" w:ascii="宋体" w:hAnsi="宋体" w:eastAsia="宋体"/>
          <w:color w:val="auto"/>
          <w:szCs w:val="21"/>
        </w:rPr>
        <w:t>（各方公司名称、地址、注册资金、营业执照、</w:t>
      </w: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姓名）</w:t>
      </w:r>
    </w:p>
    <w:p w14:paraId="78BC0F2B">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二、</w:t>
      </w:r>
      <w:r>
        <w:rPr>
          <w:rFonts w:hint="eastAsia" w:ascii="宋体" w:hAnsi="宋体" w:eastAsia="宋体"/>
          <w:color w:val="auto"/>
          <w:szCs w:val="21"/>
          <w:u w:val="single"/>
        </w:rPr>
        <w:t xml:space="preserve">       </w:t>
      </w:r>
      <w:r>
        <w:rPr>
          <w:rFonts w:hint="eastAsia" w:ascii="宋体" w:hAnsi="宋体" w:eastAsia="宋体"/>
          <w:color w:val="auto"/>
          <w:szCs w:val="21"/>
        </w:rPr>
        <w:t>（某成员单位名称）为</w:t>
      </w:r>
      <w:r>
        <w:rPr>
          <w:rFonts w:hint="eastAsia" w:ascii="宋体" w:hAnsi="宋体" w:eastAsia="宋体"/>
          <w:color w:val="auto"/>
          <w:szCs w:val="21"/>
          <w:u w:val="single"/>
        </w:rPr>
        <w:t xml:space="preserve">        </w:t>
      </w:r>
      <w:r>
        <w:rPr>
          <w:rFonts w:hint="eastAsia" w:ascii="宋体" w:hAnsi="宋体" w:eastAsia="宋体"/>
          <w:color w:val="auto"/>
          <w:szCs w:val="21"/>
        </w:rPr>
        <w:t>（联合体名称）牵头人。</w:t>
      </w:r>
    </w:p>
    <w:p w14:paraId="2EFB25F8">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1BEEE444">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四．联合体将严格按照招标文件的各项要求，递交投标文件，参加投标，履行中标义务和中标后的合同，并向采购人承担连带责任。</w:t>
      </w:r>
    </w:p>
    <w:p w14:paraId="70E48315">
      <w:pPr>
        <w:adjustRightInd w:val="0"/>
        <w:snapToGrid w:val="0"/>
        <w:spacing w:line="360" w:lineRule="auto"/>
        <w:ind w:firstLine="420" w:firstLineChars="200"/>
        <w:rPr>
          <w:rFonts w:ascii="宋体" w:hAnsi="宋体" w:eastAsia="宋体"/>
          <w:color w:val="auto"/>
          <w:szCs w:val="21"/>
          <w:u w:val="single"/>
        </w:rPr>
      </w:pPr>
      <w:r>
        <w:rPr>
          <w:rFonts w:hint="eastAsia" w:ascii="宋体" w:hAnsi="宋体" w:eastAsia="宋体"/>
          <w:color w:val="auto"/>
          <w:szCs w:val="21"/>
        </w:rPr>
        <w:t>五、联合体各成员单位内部的职责分工如下：</w:t>
      </w:r>
      <w:r>
        <w:rPr>
          <w:rFonts w:hint="eastAsia" w:ascii="宋体" w:hAnsi="宋体" w:eastAsia="宋体"/>
          <w:color w:val="auto"/>
          <w:szCs w:val="21"/>
          <w:u w:val="single"/>
        </w:rPr>
        <w:t xml:space="preserve">             </w:t>
      </w:r>
      <w:r>
        <w:rPr>
          <w:rFonts w:hint="eastAsia" w:ascii="宋体" w:hAnsi="宋体" w:eastAsia="宋体"/>
          <w:color w:val="auto"/>
          <w:szCs w:val="21"/>
        </w:rPr>
        <w:t>。按照本条上述分工，联合体各成员的协议合同金额占联合体协议合同总金额比例如下：</w:t>
      </w:r>
      <w:r>
        <w:rPr>
          <w:rFonts w:hint="eastAsia" w:ascii="宋体" w:hAnsi="宋体" w:eastAsia="宋体"/>
          <w:color w:val="auto"/>
          <w:szCs w:val="21"/>
          <w:u w:val="single"/>
        </w:rPr>
        <w:t xml:space="preserve">               </w:t>
      </w:r>
      <w:r>
        <w:rPr>
          <w:rFonts w:hint="eastAsia" w:ascii="宋体" w:hAnsi="宋体" w:eastAsia="宋体"/>
          <w:color w:val="auto"/>
          <w:szCs w:val="21"/>
        </w:rPr>
        <w:t>。</w:t>
      </w:r>
    </w:p>
    <w:p w14:paraId="56538C0E">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六、本协议书自签署之日起生效，合同履行完毕后自动失效。</w:t>
      </w:r>
    </w:p>
    <w:p w14:paraId="20922077">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七、本协议书一式</w:t>
      </w:r>
      <w:r>
        <w:rPr>
          <w:rFonts w:hint="eastAsia" w:ascii="宋体" w:hAnsi="宋体" w:eastAsia="宋体"/>
          <w:color w:val="auto"/>
          <w:szCs w:val="21"/>
          <w:u w:val="single"/>
        </w:rPr>
        <w:t xml:space="preserve">    </w:t>
      </w:r>
      <w:r>
        <w:rPr>
          <w:rFonts w:hint="eastAsia" w:ascii="宋体" w:hAnsi="宋体" w:eastAsia="宋体"/>
          <w:color w:val="auto"/>
          <w:szCs w:val="21"/>
        </w:rPr>
        <w:t>份，联合体成员和采购人各执一份。</w:t>
      </w:r>
    </w:p>
    <w:p w14:paraId="0FFDC800">
      <w:pPr>
        <w:adjustRightInd w:val="0"/>
        <w:snapToGrid w:val="0"/>
        <w:spacing w:line="360" w:lineRule="auto"/>
        <w:rPr>
          <w:rFonts w:ascii="宋体" w:hAnsi="宋体" w:eastAsia="宋体"/>
          <w:color w:val="auto"/>
          <w:szCs w:val="21"/>
        </w:rPr>
      </w:pPr>
    </w:p>
    <w:p w14:paraId="3648EEC8">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牵头人名称（盖单位章）：</w:t>
      </w:r>
    </w:p>
    <w:p w14:paraId="0F6AB891">
      <w:pPr>
        <w:adjustRightInd w:val="0"/>
        <w:snapToGrid w:val="0"/>
        <w:spacing w:line="360" w:lineRule="auto"/>
        <w:rPr>
          <w:rFonts w:ascii="宋体" w:hAnsi="宋体" w:eastAsia="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或其委托代理人（签字或印章）：</w:t>
      </w:r>
      <w:r>
        <w:rPr>
          <w:rFonts w:hint="eastAsia" w:ascii="宋体" w:hAnsi="宋体" w:eastAsia="宋体"/>
          <w:color w:val="auto"/>
          <w:szCs w:val="21"/>
          <w:u w:val="single"/>
        </w:rPr>
        <w:t xml:space="preserve">                          </w:t>
      </w:r>
    </w:p>
    <w:p w14:paraId="712F0999">
      <w:pPr>
        <w:adjustRightInd w:val="0"/>
        <w:snapToGrid w:val="0"/>
        <w:spacing w:line="360" w:lineRule="auto"/>
        <w:rPr>
          <w:rFonts w:ascii="宋体" w:hAnsi="宋体" w:eastAsia="宋体"/>
          <w:color w:val="auto"/>
          <w:szCs w:val="21"/>
        </w:rPr>
      </w:pPr>
    </w:p>
    <w:p w14:paraId="22264BE3">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成员1名称（盖单位章）：</w:t>
      </w:r>
    </w:p>
    <w:p w14:paraId="42C53AB7">
      <w:pPr>
        <w:adjustRightInd w:val="0"/>
        <w:snapToGrid w:val="0"/>
        <w:spacing w:line="360" w:lineRule="auto"/>
        <w:rPr>
          <w:rFonts w:ascii="宋体" w:hAnsi="宋体" w:eastAsia="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或其委托代理人（签字或印章）：</w:t>
      </w:r>
      <w:r>
        <w:rPr>
          <w:rFonts w:hint="eastAsia" w:ascii="宋体" w:hAnsi="宋体" w:eastAsia="宋体"/>
          <w:color w:val="auto"/>
          <w:szCs w:val="21"/>
          <w:u w:val="single"/>
        </w:rPr>
        <w:t xml:space="preserve">                          </w:t>
      </w:r>
    </w:p>
    <w:p w14:paraId="0382869C">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成员2名称（盖单位章）：</w:t>
      </w:r>
    </w:p>
    <w:p w14:paraId="2B311032">
      <w:pPr>
        <w:adjustRightInd w:val="0"/>
        <w:snapToGrid w:val="0"/>
        <w:spacing w:line="360" w:lineRule="auto"/>
        <w:rPr>
          <w:rFonts w:ascii="宋体" w:hAnsi="宋体" w:eastAsia="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或其委托代理人（签字或印章）：</w:t>
      </w:r>
      <w:r>
        <w:rPr>
          <w:rFonts w:hint="eastAsia" w:ascii="宋体" w:hAnsi="宋体" w:eastAsia="宋体"/>
          <w:color w:val="auto"/>
          <w:szCs w:val="21"/>
          <w:u w:val="single"/>
        </w:rPr>
        <w:t xml:space="preserve">                          </w:t>
      </w:r>
    </w:p>
    <w:p w14:paraId="5AFA5242">
      <w:pPr>
        <w:adjustRightInd w:val="0"/>
        <w:snapToGrid w:val="0"/>
        <w:spacing w:line="360" w:lineRule="auto"/>
        <w:rPr>
          <w:rFonts w:ascii="宋体" w:hAnsi="宋体" w:eastAsia="宋体"/>
          <w:color w:val="auto"/>
          <w:szCs w:val="21"/>
        </w:rPr>
      </w:pPr>
      <w:r>
        <w:rPr>
          <w:rFonts w:ascii="宋体" w:hAnsi="宋体" w:eastAsia="宋体"/>
          <w:color w:val="auto"/>
          <w:szCs w:val="21"/>
        </w:rPr>
        <w:t>…</w:t>
      </w:r>
    </w:p>
    <w:p w14:paraId="3B1BC4CA">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日期：</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eastAsia="宋体"/>
          <w:color w:val="auto"/>
          <w:szCs w:val="21"/>
        </w:rPr>
        <w:t xml:space="preserve">日  </w:t>
      </w:r>
    </w:p>
    <w:p w14:paraId="4222ECC6">
      <w:pPr>
        <w:widowControl/>
        <w:adjustRightInd w:val="0"/>
        <w:snapToGrid w:val="0"/>
        <w:spacing w:line="360" w:lineRule="auto"/>
        <w:ind w:firstLine="420" w:firstLineChars="200"/>
        <w:jc w:val="left"/>
        <w:rPr>
          <w:rFonts w:ascii="宋体" w:hAnsi="宋体" w:eastAsia="宋体"/>
          <w:color w:val="auto"/>
          <w:szCs w:val="21"/>
        </w:rPr>
      </w:pPr>
      <w:r>
        <w:rPr>
          <w:rFonts w:hint="eastAsia" w:ascii="宋体" w:hAnsi="宋体" w:eastAsia="宋体"/>
          <w:b w:val="0"/>
          <w:bCs/>
          <w:color w:val="auto"/>
          <w:szCs w:val="21"/>
        </w:rPr>
        <w:t>注：1</w:t>
      </w:r>
      <w:r>
        <w:rPr>
          <w:rFonts w:hint="eastAsia" w:ascii="宋体" w:hAnsi="宋体"/>
          <w:b w:val="0"/>
          <w:bCs/>
          <w:color w:val="auto"/>
          <w:szCs w:val="21"/>
          <w:lang w:val="en-US" w:eastAsia="zh-CN"/>
        </w:rPr>
        <w:t>.</w:t>
      </w:r>
      <w:r>
        <w:rPr>
          <w:rFonts w:hint="eastAsia" w:ascii="宋体" w:hAnsi="宋体" w:eastAsia="宋体"/>
          <w:color w:val="auto"/>
          <w:szCs w:val="21"/>
        </w:rPr>
        <w:t>本协议书由委托代理人签字的，应附授权委托书。</w:t>
      </w:r>
    </w:p>
    <w:p w14:paraId="5150033A">
      <w:pPr>
        <w:widowControl/>
        <w:adjustRightInd w:val="0"/>
        <w:snapToGrid w:val="0"/>
        <w:spacing w:line="360" w:lineRule="auto"/>
        <w:ind w:firstLine="420" w:firstLineChars="200"/>
        <w:jc w:val="left"/>
        <w:rPr>
          <w:color w:val="auto"/>
        </w:rPr>
      </w:pPr>
      <w:r>
        <w:rPr>
          <w:rFonts w:hint="eastAsia" w:ascii="宋体" w:hAnsi="宋体" w:eastAsia="宋体"/>
          <w:color w:val="auto"/>
          <w:szCs w:val="21"/>
        </w:rPr>
        <w:t>2</w:t>
      </w:r>
      <w:r>
        <w:rPr>
          <w:rFonts w:hint="eastAsia" w:ascii="宋体" w:hAnsi="宋体"/>
          <w:color w:val="auto"/>
          <w:szCs w:val="21"/>
          <w:lang w:val="en-US" w:eastAsia="zh-CN"/>
        </w:rPr>
        <w:t>.</w:t>
      </w:r>
      <w:r>
        <w:rPr>
          <w:rFonts w:hint="eastAsia" w:ascii="宋体" w:hAnsi="宋体" w:eastAsia="宋体"/>
          <w:color w:val="auto"/>
          <w:szCs w:val="21"/>
        </w:rPr>
        <w:t>投标人在提交投标文件的截止时间前修改“开标一览表”中的投标报价，影响本协议书第五条的，应同时修改本协议书第五条。</w:t>
      </w:r>
      <w:bookmarkEnd w:id="79"/>
      <w:bookmarkEnd w:id="80"/>
    </w:p>
    <w:p w14:paraId="08BDE00A">
      <w:pPr>
        <w:pStyle w:val="32"/>
        <w:rPr>
          <w:color w:val="auto"/>
        </w:rPr>
      </w:pPr>
    </w:p>
    <w:p w14:paraId="1C30BE36">
      <w:pPr>
        <w:pStyle w:val="32"/>
        <w:rPr>
          <w:color w:val="auto"/>
        </w:rPr>
      </w:pPr>
    </w:p>
    <w:p w14:paraId="675313C9">
      <w:pPr>
        <w:widowControl/>
        <w:adjustRightInd w:val="0"/>
        <w:snapToGrid w:val="0"/>
        <w:spacing w:line="360" w:lineRule="auto"/>
        <w:jc w:val="left"/>
        <w:rPr>
          <w:rFonts w:ascii="黑体" w:eastAsia="黑体"/>
          <w:color w:val="auto"/>
          <w:sz w:val="32"/>
          <w:szCs w:val="32"/>
        </w:rPr>
      </w:pPr>
      <w:r>
        <w:rPr>
          <w:rFonts w:ascii="宋体" w:hAnsi="宋体"/>
          <w:color w:val="auto"/>
          <w:szCs w:val="21"/>
        </w:rPr>
        <w:br w:type="page"/>
      </w:r>
    </w:p>
    <w:p w14:paraId="2B8EA91B">
      <w:pPr>
        <w:adjustRightInd w:val="0"/>
        <w:snapToGrid w:val="0"/>
        <w:spacing w:line="360" w:lineRule="auto"/>
        <w:jc w:val="both"/>
        <w:rPr>
          <w:rFonts w:hint="eastAsia" w:ascii="宋体" w:hAnsi="宋体" w:eastAsia="宋体"/>
          <w:b/>
          <w:bCs/>
          <w:color w:val="auto"/>
          <w:sz w:val="84"/>
          <w:szCs w:val="84"/>
        </w:rPr>
      </w:pPr>
    </w:p>
    <w:p w14:paraId="75B563FB">
      <w:pPr>
        <w:adjustRightInd w:val="0"/>
        <w:snapToGrid w:val="0"/>
        <w:spacing w:line="360" w:lineRule="auto"/>
        <w:jc w:val="center"/>
        <w:rPr>
          <w:rFonts w:hint="eastAsia" w:ascii="宋体" w:hAnsi="宋体" w:eastAsia="宋体"/>
          <w:b/>
          <w:bCs/>
          <w:color w:val="auto"/>
          <w:sz w:val="72"/>
          <w:szCs w:val="72"/>
          <w:lang w:eastAsia="zh-CN"/>
        </w:rPr>
      </w:pPr>
      <w:r>
        <w:rPr>
          <w:rFonts w:hint="eastAsia" w:ascii="宋体" w:hAnsi="宋体"/>
          <w:b/>
          <w:bCs/>
          <w:color w:val="auto"/>
          <w:sz w:val="72"/>
          <w:szCs w:val="72"/>
          <w:lang w:val="en-US" w:eastAsia="zh-CN"/>
        </w:rPr>
        <w:t>服务</w:t>
      </w:r>
      <w:r>
        <w:rPr>
          <w:rFonts w:hint="eastAsia" w:ascii="宋体" w:hAnsi="宋体" w:eastAsia="宋体"/>
          <w:b/>
          <w:bCs/>
          <w:color w:val="auto"/>
          <w:sz w:val="72"/>
          <w:szCs w:val="72"/>
          <w:lang w:eastAsia="zh-CN"/>
        </w:rPr>
        <w:t>类项目询价比选</w:t>
      </w:r>
    </w:p>
    <w:p w14:paraId="13775926">
      <w:pPr>
        <w:adjustRightInd w:val="0"/>
        <w:snapToGrid w:val="0"/>
        <w:spacing w:line="360" w:lineRule="auto"/>
        <w:jc w:val="center"/>
        <w:rPr>
          <w:rFonts w:ascii="宋体" w:hAnsi="宋体" w:eastAsia="宋体"/>
          <w:b/>
          <w:bCs/>
          <w:color w:val="auto"/>
          <w:sz w:val="72"/>
          <w:szCs w:val="72"/>
        </w:rPr>
      </w:pPr>
      <w:r>
        <w:rPr>
          <w:rFonts w:hint="eastAsia" w:ascii="宋体" w:hAnsi="宋体" w:eastAsia="宋体"/>
          <w:b/>
          <w:bCs/>
          <w:color w:val="auto"/>
          <w:sz w:val="72"/>
          <w:szCs w:val="72"/>
        </w:rPr>
        <w:t>投 标 文 件</w:t>
      </w:r>
    </w:p>
    <w:p w14:paraId="2543B58B">
      <w:pPr>
        <w:adjustRightInd w:val="0"/>
        <w:snapToGrid w:val="0"/>
        <w:spacing w:line="360" w:lineRule="auto"/>
        <w:jc w:val="both"/>
        <w:rPr>
          <w:rFonts w:ascii="宋体" w:hAnsi="宋体" w:eastAsia="宋体"/>
          <w:b/>
          <w:bCs/>
          <w:color w:val="auto"/>
          <w:sz w:val="84"/>
          <w:szCs w:val="84"/>
        </w:rPr>
      </w:pPr>
    </w:p>
    <w:p w14:paraId="071C6E2A">
      <w:pPr>
        <w:pStyle w:val="5"/>
        <w:adjustRightInd w:val="0"/>
        <w:snapToGrid w:val="0"/>
        <w:jc w:val="center"/>
        <w:rPr>
          <w:rFonts w:ascii="黑体" w:hAnsi="黑体" w:eastAsia="黑体"/>
          <w:color w:val="auto"/>
          <w:sz w:val="44"/>
          <w:szCs w:val="44"/>
        </w:rPr>
      </w:pPr>
      <w:bookmarkStart w:id="85" w:name="_Toc28403"/>
      <w:bookmarkStart w:id="86" w:name="_Toc6690"/>
      <w:r>
        <w:rPr>
          <w:rFonts w:hint="eastAsia" w:ascii="黑体" w:hAnsi="黑体" w:eastAsia="黑体"/>
          <w:color w:val="auto"/>
          <w:sz w:val="44"/>
          <w:szCs w:val="44"/>
        </w:rPr>
        <w:t>第二部分 商务技术文件</w:t>
      </w:r>
      <w:bookmarkEnd w:id="85"/>
      <w:bookmarkEnd w:id="86"/>
    </w:p>
    <w:p w14:paraId="462C1F3D">
      <w:pPr>
        <w:adjustRightInd w:val="0"/>
        <w:snapToGrid w:val="0"/>
        <w:spacing w:line="360" w:lineRule="auto"/>
        <w:rPr>
          <w:rFonts w:ascii="宋体" w:hAnsi="宋体" w:eastAsia="宋体"/>
          <w:color w:val="auto"/>
          <w:sz w:val="32"/>
          <w:szCs w:val="32"/>
        </w:rPr>
      </w:pPr>
    </w:p>
    <w:p w14:paraId="3BA89868">
      <w:pPr>
        <w:pStyle w:val="15"/>
        <w:adjustRightInd w:val="0"/>
        <w:snapToGrid w:val="0"/>
        <w:spacing w:line="360" w:lineRule="auto"/>
        <w:ind w:firstLine="1988" w:firstLineChars="660"/>
        <w:rPr>
          <w:rFonts w:ascii="宋体" w:hAnsi="宋体" w:eastAsia="宋体"/>
          <w:b/>
          <w:bCs/>
          <w:color w:val="auto"/>
          <w:sz w:val="30"/>
          <w:szCs w:val="30"/>
        </w:rPr>
      </w:pPr>
    </w:p>
    <w:p w14:paraId="199C3929">
      <w:pPr>
        <w:pStyle w:val="15"/>
        <w:adjustRightInd w:val="0"/>
        <w:snapToGrid w:val="0"/>
        <w:spacing w:line="360" w:lineRule="auto"/>
        <w:ind w:firstLine="1988" w:firstLineChars="660"/>
        <w:rPr>
          <w:rFonts w:ascii="宋体" w:hAnsi="宋体" w:eastAsia="宋体"/>
          <w:b/>
          <w:bCs/>
          <w:color w:val="auto"/>
          <w:sz w:val="30"/>
          <w:szCs w:val="30"/>
          <w:u w:val="single"/>
        </w:rPr>
      </w:pPr>
      <w:r>
        <w:rPr>
          <w:rFonts w:hint="eastAsia" w:ascii="宋体" w:hAnsi="宋体" w:eastAsia="宋体"/>
          <w:b/>
          <w:bCs/>
          <w:color w:val="auto"/>
          <w:sz w:val="30"/>
          <w:szCs w:val="30"/>
        </w:rPr>
        <w:t>项目名称:</w:t>
      </w:r>
      <w:r>
        <w:rPr>
          <w:rFonts w:hint="eastAsia" w:ascii="宋体" w:hAnsi="宋体" w:eastAsia="宋体"/>
          <w:b/>
          <w:bCs/>
          <w:color w:val="auto"/>
          <w:sz w:val="30"/>
          <w:szCs w:val="30"/>
          <w:u w:val="single"/>
        </w:rPr>
        <w:t xml:space="preserve">                        </w:t>
      </w:r>
    </w:p>
    <w:p w14:paraId="45BECD76">
      <w:pPr>
        <w:pStyle w:val="15"/>
        <w:adjustRightInd w:val="0"/>
        <w:snapToGrid w:val="0"/>
        <w:spacing w:line="360" w:lineRule="auto"/>
        <w:ind w:firstLine="1988" w:firstLineChars="660"/>
        <w:rPr>
          <w:rFonts w:ascii="宋体" w:hAnsi="宋体" w:eastAsia="宋体"/>
          <w:b/>
          <w:bCs/>
          <w:color w:val="auto"/>
          <w:sz w:val="30"/>
          <w:szCs w:val="30"/>
        </w:rPr>
      </w:pPr>
      <w:r>
        <w:rPr>
          <w:rFonts w:hint="eastAsia" w:hAnsi="宋体"/>
          <w:b/>
          <w:bCs/>
          <w:color w:val="auto"/>
          <w:sz w:val="30"/>
          <w:szCs w:val="30"/>
          <w:lang w:eastAsia="zh-CN"/>
        </w:rPr>
        <w:t>招</w:t>
      </w:r>
      <w:r>
        <w:rPr>
          <w:rFonts w:hint="eastAsia" w:ascii="宋体" w:hAnsi="宋体" w:eastAsia="宋体"/>
          <w:b/>
          <w:bCs/>
          <w:color w:val="auto"/>
          <w:sz w:val="30"/>
          <w:szCs w:val="30"/>
        </w:rPr>
        <w:t xml:space="preserve"> </w:t>
      </w:r>
      <w:r>
        <w:rPr>
          <w:rFonts w:hint="eastAsia" w:hAnsi="宋体"/>
          <w:b/>
          <w:bCs/>
          <w:color w:val="auto"/>
          <w:sz w:val="30"/>
          <w:szCs w:val="30"/>
          <w:lang w:eastAsia="zh-CN"/>
        </w:rPr>
        <w:t>标</w:t>
      </w:r>
      <w:r>
        <w:rPr>
          <w:rFonts w:hint="eastAsia" w:ascii="宋体" w:hAnsi="宋体" w:eastAsia="宋体"/>
          <w:b/>
          <w:bCs/>
          <w:color w:val="auto"/>
          <w:sz w:val="30"/>
          <w:szCs w:val="30"/>
        </w:rPr>
        <w:t xml:space="preserve"> 人：</w:t>
      </w:r>
      <w:r>
        <w:rPr>
          <w:rFonts w:hint="eastAsia" w:ascii="宋体" w:hAnsi="宋体" w:eastAsia="宋体"/>
          <w:b/>
          <w:bCs/>
          <w:color w:val="auto"/>
          <w:sz w:val="30"/>
          <w:szCs w:val="30"/>
          <w:u w:val="single"/>
        </w:rPr>
        <w:t xml:space="preserve">                       </w:t>
      </w:r>
    </w:p>
    <w:p w14:paraId="7C901FC0">
      <w:pPr>
        <w:adjustRightInd w:val="0"/>
        <w:snapToGrid w:val="0"/>
        <w:spacing w:line="360" w:lineRule="auto"/>
        <w:rPr>
          <w:rFonts w:hint="eastAsia" w:ascii="宋体" w:hAnsi="宋体" w:eastAsia="宋体"/>
          <w:color w:val="auto"/>
          <w:sz w:val="30"/>
          <w:szCs w:val="30"/>
          <w:lang w:val="en-US" w:eastAsia="zh-CN"/>
        </w:rPr>
      </w:pPr>
      <w:r>
        <w:rPr>
          <w:rFonts w:hint="eastAsia" w:ascii="宋体" w:hAnsi="宋体"/>
          <w:color w:val="auto"/>
          <w:sz w:val="30"/>
          <w:szCs w:val="30"/>
          <w:lang w:val="en-US" w:eastAsia="zh-CN"/>
        </w:rPr>
        <w:t xml:space="preserve"> </w:t>
      </w:r>
    </w:p>
    <w:p w14:paraId="31194F65">
      <w:pPr>
        <w:adjustRightInd w:val="0"/>
        <w:snapToGrid w:val="0"/>
        <w:spacing w:line="360" w:lineRule="auto"/>
        <w:rPr>
          <w:rFonts w:ascii="宋体" w:hAnsi="宋体" w:eastAsia="宋体"/>
          <w:color w:val="auto"/>
          <w:sz w:val="30"/>
          <w:szCs w:val="30"/>
        </w:rPr>
      </w:pPr>
    </w:p>
    <w:p w14:paraId="395C83AF">
      <w:pPr>
        <w:adjustRightInd w:val="0"/>
        <w:snapToGrid w:val="0"/>
        <w:spacing w:line="360" w:lineRule="auto"/>
        <w:rPr>
          <w:rFonts w:ascii="宋体" w:hAnsi="宋体" w:eastAsia="宋体"/>
          <w:color w:val="auto"/>
          <w:sz w:val="30"/>
          <w:szCs w:val="30"/>
        </w:rPr>
      </w:pPr>
    </w:p>
    <w:p w14:paraId="763F76D4">
      <w:pPr>
        <w:adjustRightInd w:val="0"/>
        <w:snapToGrid w:val="0"/>
        <w:spacing w:line="360" w:lineRule="auto"/>
        <w:rPr>
          <w:rFonts w:hint="eastAsia" w:ascii="黑体" w:hAnsi="黑体" w:eastAsia="黑体" w:cs="黑体"/>
          <w:b w:val="0"/>
          <w:bCs w:val="0"/>
          <w:color w:val="auto"/>
          <w:sz w:val="30"/>
          <w:szCs w:val="30"/>
        </w:rPr>
      </w:pPr>
    </w:p>
    <w:p w14:paraId="12379C17">
      <w:pPr>
        <w:adjustRightInd w:val="0"/>
        <w:snapToGrid w:val="0"/>
        <w:spacing w:line="360" w:lineRule="auto"/>
        <w:ind w:left="1273" w:leftChars="606" w:firstLine="640" w:firstLineChars="200"/>
        <w:rPr>
          <w:rFonts w:hint="eastAsia" w:ascii="黑体" w:hAnsi="黑体" w:eastAsia="黑体" w:cs="黑体"/>
          <w:b w:val="0"/>
          <w:bCs w:val="0"/>
          <w:color w:val="auto"/>
          <w:sz w:val="32"/>
          <w:szCs w:val="32"/>
          <w:u w:val="single"/>
        </w:rPr>
      </w:pPr>
      <w:r>
        <w:rPr>
          <w:rFonts w:hint="eastAsia" w:ascii="黑体" w:hAnsi="黑体" w:eastAsia="黑体" w:cs="黑体"/>
          <w:b w:val="0"/>
          <w:bCs w:val="0"/>
          <w:color w:val="auto"/>
          <w:sz w:val="32"/>
          <w:szCs w:val="32"/>
        </w:rPr>
        <w:t>投标人</w:t>
      </w:r>
      <w:r>
        <w:rPr>
          <w:rFonts w:hint="eastAsia" w:ascii="黑体" w:hAnsi="黑体" w:eastAsia="黑体" w:cs="黑体"/>
          <w:b w:val="0"/>
          <w:bCs w:val="0"/>
          <w:color w:val="auto"/>
          <w:sz w:val="32"/>
          <w:szCs w:val="32"/>
          <w:u w:val="single"/>
        </w:rPr>
        <w:t xml:space="preserve">                         </w:t>
      </w:r>
    </w:p>
    <w:p w14:paraId="7BA00B87">
      <w:pPr>
        <w:adjustRightInd w:val="0"/>
        <w:snapToGrid w:val="0"/>
        <w:spacing w:line="360" w:lineRule="auto"/>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年  月  日</w:t>
      </w:r>
    </w:p>
    <w:p w14:paraId="7552C95C">
      <w:pPr>
        <w:widowControl/>
        <w:jc w:val="left"/>
        <w:rPr>
          <w:rFonts w:ascii="黑体" w:hAnsi="宋体" w:eastAsia="黑体"/>
          <w:b/>
          <w:bCs/>
          <w:color w:val="auto"/>
          <w:sz w:val="28"/>
          <w:szCs w:val="28"/>
        </w:rPr>
      </w:pPr>
      <w:r>
        <w:rPr>
          <w:rFonts w:ascii="宋体" w:hAnsi="宋体" w:eastAsia="宋体"/>
          <w:color w:val="auto"/>
          <w:u w:val="single"/>
        </w:rPr>
        <w:br w:type="page"/>
      </w:r>
    </w:p>
    <w:p w14:paraId="36C14DB7">
      <w:pPr>
        <w:pStyle w:val="6"/>
        <w:adjustRightInd w:val="0"/>
        <w:snapToGrid w:val="0"/>
        <w:spacing w:before="0" w:after="0" w:line="360" w:lineRule="auto"/>
        <w:jc w:val="center"/>
        <w:rPr>
          <w:rFonts w:ascii="黑体" w:hAnsi="宋体" w:eastAsia="黑体"/>
          <w:color w:val="auto"/>
          <w:sz w:val="28"/>
          <w:szCs w:val="28"/>
        </w:rPr>
      </w:pPr>
      <w:bookmarkStart w:id="87" w:name="_Toc6290"/>
      <w:r>
        <w:rPr>
          <w:rFonts w:hint="eastAsia" w:ascii="黑体" w:hAnsi="宋体" w:eastAsia="黑体"/>
          <w:color w:val="auto"/>
          <w:sz w:val="28"/>
          <w:szCs w:val="28"/>
          <w:lang w:eastAsia="zh-CN"/>
        </w:rPr>
        <w:t>四</w:t>
      </w:r>
      <w:r>
        <w:rPr>
          <w:rFonts w:ascii="黑体" w:hAnsi="宋体" w:eastAsia="黑体"/>
          <w:color w:val="auto"/>
          <w:sz w:val="28"/>
          <w:szCs w:val="28"/>
        </w:rPr>
        <w:t>、</w:t>
      </w:r>
      <w:r>
        <w:rPr>
          <w:rFonts w:hint="eastAsia" w:ascii="黑体" w:hAnsi="宋体" w:eastAsia="黑体"/>
          <w:color w:val="auto"/>
          <w:sz w:val="28"/>
          <w:szCs w:val="28"/>
        </w:rPr>
        <w:t>投标函</w:t>
      </w:r>
      <w:bookmarkEnd w:id="87"/>
    </w:p>
    <w:p w14:paraId="4C2FA566">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ascii="宋体" w:hAnsi="宋体" w:eastAsia="宋体"/>
          <w:color w:val="auto"/>
          <w:szCs w:val="21"/>
        </w:rPr>
      </w:pPr>
      <w:r>
        <w:rPr>
          <w:rFonts w:hint="eastAsia" w:ascii="宋体" w:hAnsi="宋体" w:eastAsia="宋体"/>
          <w:color w:val="auto"/>
          <w:szCs w:val="21"/>
        </w:rPr>
        <w:t>致：</w:t>
      </w:r>
      <w:r>
        <w:rPr>
          <w:rFonts w:hint="eastAsia" w:ascii="宋体" w:hAnsi="宋体" w:eastAsia="宋体"/>
          <w:color w:val="auto"/>
          <w:szCs w:val="21"/>
          <w:u w:val="single"/>
        </w:rPr>
        <w:t xml:space="preserve">           </w:t>
      </w:r>
      <w:r>
        <w:rPr>
          <w:rFonts w:hint="eastAsia" w:ascii="宋体" w:hAnsi="宋体" w:eastAsia="宋体"/>
          <w:color w:val="auto"/>
          <w:szCs w:val="21"/>
        </w:rPr>
        <w:t>（采购人）：</w:t>
      </w:r>
    </w:p>
    <w:p w14:paraId="54C1FC1B">
      <w:pPr>
        <w:keepNext w:val="0"/>
        <w:keepLines w:val="0"/>
        <w:pageBreakBefore w:val="0"/>
        <w:widowControl w:val="0"/>
        <w:kinsoku/>
        <w:wordWrap/>
        <w:overflowPunct/>
        <w:topLinePunct w:val="0"/>
        <w:autoSpaceDE/>
        <w:autoSpaceDN/>
        <w:bidi w:val="0"/>
        <w:adjustRightInd w:val="0"/>
        <w:snapToGrid w:val="0"/>
        <w:spacing w:line="480" w:lineRule="exact"/>
        <w:ind w:firstLine="435"/>
        <w:textAlignment w:val="auto"/>
        <w:rPr>
          <w:rFonts w:ascii="宋体" w:hAnsi="宋体" w:eastAsia="宋体"/>
          <w:color w:val="auto"/>
          <w:szCs w:val="21"/>
        </w:rPr>
      </w:pPr>
      <w:r>
        <w:rPr>
          <w:rFonts w:hint="eastAsia" w:ascii="宋体" w:hAnsi="宋体" w:eastAsia="宋体"/>
          <w:color w:val="auto"/>
          <w:szCs w:val="21"/>
        </w:rPr>
        <w:t>根据贵方为</w:t>
      </w:r>
      <w:r>
        <w:rPr>
          <w:rFonts w:hint="eastAsia" w:ascii="宋体" w:hAnsi="宋体" w:eastAsia="宋体"/>
          <w:color w:val="auto"/>
          <w:szCs w:val="21"/>
          <w:u w:val="single"/>
        </w:rPr>
        <w:t xml:space="preserve">           </w:t>
      </w:r>
      <w:r>
        <w:rPr>
          <w:rFonts w:hint="eastAsia" w:ascii="宋体" w:hAnsi="宋体" w:eastAsia="宋体"/>
          <w:color w:val="auto"/>
          <w:szCs w:val="21"/>
        </w:rPr>
        <w:t xml:space="preserve">（项目名称）的投标邀请，签字代表 </w:t>
      </w:r>
      <w:r>
        <w:rPr>
          <w:rFonts w:hint="eastAsia" w:ascii="宋体" w:hAnsi="宋体" w:eastAsia="宋体"/>
          <w:color w:val="auto"/>
          <w:szCs w:val="21"/>
          <w:u w:val="single"/>
        </w:rPr>
        <w:t xml:space="preserve">      </w:t>
      </w:r>
      <w:r>
        <w:rPr>
          <w:rFonts w:hint="eastAsia" w:ascii="宋体" w:hAnsi="宋体" w:eastAsia="宋体"/>
          <w:color w:val="auto"/>
          <w:szCs w:val="21"/>
        </w:rPr>
        <w:t>（姓名、职务）经正式授权并代表投标人</w:t>
      </w:r>
      <w:r>
        <w:rPr>
          <w:rFonts w:hint="eastAsia" w:ascii="宋体" w:hAnsi="宋体" w:eastAsia="宋体"/>
          <w:color w:val="auto"/>
          <w:szCs w:val="21"/>
          <w:u w:val="single"/>
        </w:rPr>
        <w:t xml:space="preserve">       </w:t>
      </w:r>
      <w:r>
        <w:rPr>
          <w:rFonts w:hint="eastAsia" w:ascii="宋体" w:hAnsi="宋体" w:eastAsia="宋体"/>
          <w:color w:val="auto"/>
          <w:szCs w:val="21"/>
        </w:rPr>
        <w:t xml:space="preserve"> （投标人名称）提交下述投标文件：投标文件正本一份，副本</w:t>
      </w:r>
      <w:r>
        <w:rPr>
          <w:rFonts w:hint="eastAsia" w:ascii="宋体" w:hAnsi="宋体"/>
          <w:color w:val="auto"/>
          <w:szCs w:val="21"/>
          <w:u w:val="none"/>
          <w:lang w:eastAsia="zh-CN"/>
        </w:rPr>
        <w:t>一</w:t>
      </w:r>
      <w:r>
        <w:rPr>
          <w:rFonts w:hint="eastAsia" w:ascii="宋体" w:hAnsi="宋体" w:eastAsia="宋体"/>
          <w:color w:val="auto"/>
          <w:szCs w:val="21"/>
        </w:rPr>
        <w:t>份，参加采购项目第</w:t>
      </w:r>
      <w:r>
        <w:rPr>
          <w:rFonts w:hint="eastAsia" w:ascii="宋体" w:hAnsi="宋体" w:eastAsia="宋体"/>
          <w:color w:val="auto"/>
          <w:szCs w:val="21"/>
          <w:u w:val="single"/>
        </w:rPr>
        <w:t xml:space="preserve">   </w:t>
      </w:r>
      <w:r>
        <w:rPr>
          <w:rFonts w:hint="eastAsia" w:ascii="宋体" w:hAnsi="宋体" w:eastAsia="宋体"/>
          <w:color w:val="auto"/>
          <w:szCs w:val="21"/>
        </w:rPr>
        <w:t>包投标，并在此声明，所递交的投标文件内容完整、真实。</w:t>
      </w:r>
    </w:p>
    <w:p w14:paraId="0D02D4E2">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ascii="宋体" w:hAnsi="宋体" w:eastAsia="宋体"/>
          <w:b/>
          <w:color w:val="auto"/>
          <w:szCs w:val="21"/>
        </w:rPr>
      </w:pPr>
      <w:r>
        <w:rPr>
          <w:rFonts w:hint="eastAsia" w:ascii="宋体" w:hAnsi="宋体" w:eastAsia="宋体"/>
          <w:b/>
          <w:color w:val="auto"/>
          <w:szCs w:val="21"/>
        </w:rPr>
        <w:t>第一部分 资格证明文件</w:t>
      </w:r>
    </w:p>
    <w:p w14:paraId="0EA771B2">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ascii="宋体" w:hAnsi="宋体" w:eastAsia="宋体"/>
          <w:color w:val="auto"/>
          <w:szCs w:val="21"/>
        </w:rPr>
      </w:pPr>
      <w:r>
        <w:rPr>
          <w:rFonts w:hint="eastAsia" w:ascii="宋体" w:hAnsi="宋体" w:eastAsia="宋体"/>
          <w:color w:val="auto"/>
          <w:szCs w:val="21"/>
        </w:rPr>
        <w:t>一、开标一览表</w:t>
      </w:r>
    </w:p>
    <w:p w14:paraId="2A0CAA5D">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hint="eastAsia" w:ascii="宋体" w:hAnsi="宋体" w:eastAsiaTheme="minorEastAsia"/>
          <w:color w:val="auto"/>
          <w:szCs w:val="21"/>
          <w:lang w:eastAsia="zh-CN"/>
        </w:rPr>
      </w:pPr>
      <w:r>
        <w:rPr>
          <w:rFonts w:hint="eastAsia" w:ascii="宋体" w:hAnsi="宋体"/>
          <w:color w:val="auto"/>
          <w:szCs w:val="21"/>
          <w:lang w:eastAsia="zh-CN"/>
        </w:rPr>
        <w:t>二</w:t>
      </w:r>
      <w:r>
        <w:rPr>
          <w:rFonts w:hint="eastAsia" w:ascii="宋体" w:hAnsi="宋体" w:eastAsia="宋体"/>
          <w:color w:val="auto"/>
          <w:szCs w:val="21"/>
        </w:rPr>
        <w:t>、</w:t>
      </w:r>
      <w:r>
        <w:rPr>
          <w:rFonts w:hint="eastAsia" w:asciiTheme="minorEastAsia" w:hAnsiTheme="minorEastAsia" w:eastAsiaTheme="minorEastAsia"/>
          <w:color w:val="auto"/>
          <w:szCs w:val="21"/>
        </w:rPr>
        <w:t>法定代表人（单位负责人）身份证明或授权委托书</w:t>
      </w:r>
      <w:r>
        <w:rPr>
          <w:rFonts w:hint="eastAsia" w:ascii="宋体" w:hAnsi="宋体"/>
          <w:color w:val="auto"/>
          <w:shd w:val="clear" w:color="auto" w:fill="auto"/>
          <w:lang w:val="en-US" w:eastAsia="zh-CN"/>
        </w:rPr>
        <w:t>。</w:t>
      </w:r>
    </w:p>
    <w:p w14:paraId="189B3760">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ascii="宋体" w:hAnsi="宋体" w:eastAsia="宋体"/>
          <w:color w:val="auto"/>
          <w:szCs w:val="21"/>
        </w:rPr>
      </w:pPr>
      <w:r>
        <w:rPr>
          <w:rFonts w:hint="eastAsia" w:ascii="宋体" w:hAnsi="宋体"/>
          <w:color w:val="auto"/>
          <w:szCs w:val="21"/>
          <w:lang w:eastAsia="zh-CN"/>
        </w:rPr>
        <w:t>三</w:t>
      </w:r>
      <w:r>
        <w:rPr>
          <w:rFonts w:hint="eastAsia" w:ascii="宋体" w:hAnsi="宋体" w:eastAsia="宋体"/>
          <w:color w:val="auto"/>
          <w:szCs w:val="21"/>
        </w:rPr>
        <w:t>、投标人提供的资格证明文件</w:t>
      </w:r>
    </w:p>
    <w:p w14:paraId="29FB169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ascii="宋体" w:hAnsi="宋体" w:eastAsia="宋体"/>
          <w:b/>
          <w:color w:val="auto"/>
          <w:szCs w:val="21"/>
        </w:rPr>
      </w:pPr>
      <w:r>
        <w:rPr>
          <w:rFonts w:hint="eastAsia" w:ascii="宋体" w:hAnsi="宋体" w:eastAsia="宋体"/>
          <w:b/>
          <w:color w:val="auto"/>
          <w:szCs w:val="21"/>
        </w:rPr>
        <w:t>第二部分 商务技术文件</w:t>
      </w:r>
    </w:p>
    <w:p w14:paraId="557B4BA3">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ascii="宋体" w:hAnsi="宋体" w:eastAsia="宋体"/>
          <w:color w:val="auto"/>
          <w:szCs w:val="21"/>
        </w:rPr>
      </w:pPr>
      <w:r>
        <w:rPr>
          <w:rFonts w:hint="eastAsia" w:ascii="宋体" w:hAnsi="宋体"/>
          <w:color w:val="auto"/>
          <w:szCs w:val="21"/>
          <w:lang w:eastAsia="zh-CN"/>
        </w:rPr>
        <w:t>四</w:t>
      </w:r>
      <w:r>
        <w:rPr>
          <w:rFonts w:hint="eastAsia" w:ascii="宋体" w:hAnsi="宋体" w:eastAsia="宋体"/>
          <w:color w:val="auto"/>
          <w:szCs w:val="21"/>
        </w:rPr>
        <w:t>、投标函</w:t>
      </w:r>
    </w:p>
    <w:p w14:paraId="78F22F7F">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ascii="宋体" w:hAnsi="宋体" w:eastAsia="宋体"/>
          <w:color w:val="auto"/>
          <w:szCs w:val="21"/>
        </w:rPr>
      </w:pPr>
      <w:r>
        <w:rPr>
          <w:rFonts w:hint="eastAsia" w:ascii="宋体" w:hAnsi="宋体"/>
          <w:color w:val="auto"/>
          <w:szCs w:val="21"/>
          <w:lang w:eastAsia="zh-CN"/>
        </w:rPr>
        <w:t>五</w:t>
      </w:r>
      <w:r>
        <w:rPr>
          <w:rFonts w:hint="eastAsia" w:ascii="宋体" w:hAnsi="宋体" w:eastAsia="宋体"/>
          <w:color w:val="auto"/>
          <w:szCs w:val="21"/>
        </w:rPr>
        <w:t>、分项报价</w:t>
      </w:r>
    </w:p>
    <w:p w14:paraId="0AA09368">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ascii="宋体" w:hAnsi="宋体" w:eastAsia="宋体"/>
          <w:color w:val="auto"/>
          <w:szCs w:val="21"/>
        </w:rPr>
      </w:pPr>
      <w:r>
        <w:rPr>
          <w:rFonts w:hint="eastAsia" w:ascii="宋体" w:hAnsi="宋体"/>
          <w:color w:val="auto"/>
          <w:szCs w:val="21"/>
          <w:lang w:eastAsia="zh-CN"/>
        </w:rPr>
        <w:t>六</w:t>
      </w:r>
      <w:r>
        <w:rPr>
          <w:rFonts w:hint="eastAsia" w:ascii="宋体" w:hAnsi="宋体" w:eastAsia="宋体"/>
          <w:color w:val="auto"/>
          <w:szCs w:val="21"/>
        </w:rPr>
        <w:t>、采购需求响应</w:t>
      </w:r>
    </w:p>
    <w:p w14:paraId="1FB7C12F">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ascii="宋体" w:hAnsi="宋体" w:eastAsia="宋体"/>
          <w:color w:val="auto"/>
          <w:szCs w:val="21"/>
        </w:rPr>
      </w:pPr>
      <w:r>
        <w:rPr>
          <w:rFonts w:hint="eastAsia" w:ascii="宋体" w:hAnsi="宋体"/>
          <w:color w:val="auto"/>
          <w:szCs w:val="21"/>
          <w:lang w:eastAsia="zh-CN"/>
        </w:rPr>
        <w:t>七</w:t>
      </w:r>
      <w:r>
        <w:rPr>
          <w:rFonts w:hint="eastAsia" w:ascii="宋体" w:hAnsi="宋体" w:eastAsia="宋体"/>
          <w:color w:val="auto"/>
          <w:szCs w:val="21"/>
        </w:rPr>
        <w:t>、</w:t>
      </w:r>
      <w:r>
        <w:rPr>
          <w:rFonts w:hint="eastAsia" w:ascii="宋体" w:hAnsi="宋体"/>
          <w:color w:val="auto"/>
          <w:szCs w:val="21"/>
          <w:lang w:eastAsia="zh-CN"/>
        </w:rPr>
        <w:t>采购需求</w:t>
      </w:r>
      <w:r>
        <w:rPr>
          <w:rFonts w:hint="eastAsia" w:ascii="宋体" w:hAnsi="宋体" w:eastAsia="宋体"/>
          <w:color w:val="auto"/>
          <w:szCs w:val="21"/>
        </w:rPr>
        <w:t>偏离表</w:t>
      </w:r>
    </w:p>
    <w:p w14:paraId="2EBBA78B">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ascii="宋体" w:hAnsi="宋体" w:eastAsia="宋体"/>
          <w:color w:val="auto"/>
          <w:szCs w:val="21"/>
        </w:rPr>
      </w:pPr>
      <w:r>
        <w:rPr>
          <w:rFonts w:hint="eastAsia" w:ascii="宋体" w:hAnsi="宋体"/>
          <w:color w:val="auto"/>
          <w:szCs w:val="21"/>
          <w:lang w:eastAsia="zh-CN"/>
        </w:rPr>
        <w:t>八</w:t>
      </w:r>
      <w:r>
        <w:rPr>
          <w:rFonts w:hint="eastAsia" w:ascii="宋体" w:hAnsi="宋体" w:eastAsia="宋体"/>
          <w:color w:val="auto"/>
          <w:szCs w:val="21"/>
        </w:rPr>
        <w:t>、招标文件规定的证明文件</w:t>
      </w:r>
    </w:p>
    <w:p w14:paraId="40D7BB6D">
      <w:pPr>
        <w:keepNext w:val="0"/>
        <w:keepLines w:val="0"/>
        <w:pageBreakBefore w:val="0"/>
        <w:widowControl w:val="0"/>
        <w:kinsoku/>
        <w:wordWrap/>
        <w:overflowPunct/>
        <w:topLinePunct w:val="0"/>
        <w:autoSpaceDE/>
        <w:autoSpaceDN/>
        <w:bidi w:val="0"/>
        <w:adjustRightInd w:val="0"/>
        <w:snapToGrid w:val="0"/>
        <w:spacing w:line="480" w:lineRule="exact"/>
        <w:ind w:firstLine="630" w:firstLineChars="300"/>
        <w:textAlignment w:val="auto"/>
        <w:rPr>
          <w:rFonts w:ascii="宋体" w:hAnsi="宋体" w:eastAsia="宋体"/>
          <w:color w:val="auto"/>
          <w:szCs w:val="21"/>
        </w:rPr>
      </w:pPr>
      <w:r>
        <w:rPr>
          <w:rFonts w:hint="eastAsia" w:ascii="宋体" w:hAnsi="宋体"/>
          <w:color w:val="auto"/>
          <w:szCs w:val="21"/>
          <w:lang w:eastAsia="zh-CN"/>
        </w:rPr>
        <w:t>九</w:t>
      </w:r>
      <w:r>
        <w:rPr>
          <w:rFonts w:hint="eastAsia" w:ascii="宋体" w:hAnsi="宋体" w:eastAsia="宋体"/>
          <w:color w:val="auto"/>
          <w:szCs w:val="21"/>
        </w:rPr>
        <w:t>、投标人认为需提供的其他资料</w:t>
      </w:r>
    </w:p>
    <w:p w14:paraId="7F95DDF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宋体" w:hAnsi="宋体" w:eastAsia="宋体"/>
          <w:color w:val="auto"/>
          <w:szCs w:val="21"/>
        </w:rPr>
      </w:pPr>
      <w:r>
        <w:rPr>
          <w:rFonts w:hint="eastAsia" w:ascii="宋体" w:hAnsi="宋体" w:eastAsia="宋体"/>
          <w:color w:val="auto"/>
          <w:szCs w:val="21"/>
        </w:rPr>
        <w:t>在此，签字代表宣布同意如下：</w:t>
      </w:r>
    </w:p>
    <w:p w14:paraId="4BD08CB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宋体" w:hAnsi="宋体" w:eastAsia="宋体"/>
          <w:color w:val="auto"/>
          <w:szCs w:val="21"/>
        </w:rPr>
      </w:pPr>
      <w:r>
        <w:rPr>
          <w:rFonts w:hint="eastAsia" w:ascii="宋体" w:hAnsi="宋体" w:eastAsia="宋体"/>
          <w:color w:val="auto"/>
          <w:szCs w:val="21"/>
        </w:rPr>
        <w:t>1、投标人严格按照招标文件的规定报价，见《开标一览表》。</w:t>
      </w:r>
    </w:p>
    <w:p w14:paraId="617FC822">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宋体" w:hAnsi="宋体" w:eastAsia="宋体"/>
          <w:color w:val="auto"/>
          <w:szCs w:val="21"/>
        </w:rPr>
      </w:pPr>
      <w:r>
        <w:rPr>
          <w:rFonts w:hint="eastAsia" w:ascii="宋体" w:hAnsi="宋体" w:eastAsia="宋体"/>
          <w:color w:val="auto"/>
          <w:szCs w:val="21"/>
        </w:rPr>
        <w:t>2、投标人将按招标文件的规定履行合同责任和义务。</w:t>
      </w:r>
    </w:p>
    <w:p w14:paraId="49DAFA7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宋体" w:hAnsi="宋体" w:eastAsia="宋体"/>
          <w:color w:val="auto"/>
          <w:szCs w:val="21"/>
        </w:rPr>
      </w:pPr>
      <w:r>
        <w:rPr>
          <w:rFonts w:hint="eastAsia" w:ascii="宋体" w:hAnsi="宋体" w:eastAsia="宋体"/>
          <w:color w:val="auto"/>
          <w:szCs w:val="21"/>
        </w:rPr>
        <w:t>3、投标人已详细审查招标文件。我们完全理解并同意放弃对这方面有不明及误解的权力。</w:t>
      </w:r>
    </w:p>
    <w:p w14:paraId="15E3065D">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宋体" w:hAnsi="宋体" w:eastAsia="宋体"/>
          <w:color w:val="auto"/>
        </w:rPr>
      </w:pPr>
      <w:r>
        <w:rPr>
          <w:rFonts w:hint="eastAsia" w:ascii="宋体" w:hAnsi="宋体" w:eastAsia="宋体"/>
          <w:color w:val="auto"/>
          <w:szCs w:val="21"/>
        </w:rPr>
        <w:t>4、本投标有效期为自招标文件规定的提交投标文件截止之日起</w:t>
      </w:r>
      <w:r>
        <w:rPr>
          <w:rFonts w:hint="eastAsia" w:ascii="宋体" w:hAnsi="宋体"/>
          <w:color w:val="auto"/>
          <w:szCs w:val="21"/>
          <w:u w:val="single"/>
          <w:lang w:val="en-US" w:eastAsia="zh-CN"/>
        </w:rPr>
        <w:t>90</w:t>
      </w:r>
      <w:r>
        <w:rPr>
          <w:rFonts w:hint="eastAsia" w:ascii="宋体" w:hAnsi="宋体" w:eastAsia="宋体"/>
          <w:color w:val="auto"/>
          <w:szCs w:val="21"/>
        </w:rPr>
        <w:t>个日历日。在投标有效期内，</w:t>
      </w:r>
      <w:r>
        <w:rPr>
          <w:rFonts w:hint="eastAsia" w:ascii="宋体" w:hAnsi="宋体" w:eastAsia="宋体"/>
          <w:color w:val="auto"/>
        </w:rPr>
        <w:t>投标人同意遵守本</w:t>
      </w:r>
      <w:r>
        <w:rPr>
          <w:rFonts w:hint="eastAsia" w:ascii="宋体" w:hAnsi="宋体" w:eastAsia="宋体"/>
          <w:color w:val="auto"/>
          <w:szCs w:val="21"/>
        </w:rPr>
        <w:t>投标</w:t>
      </w:r>
      <w:r>
        <w:rPr>
          <w:rFonts w:hint="eastAsia" w:ascii="宋体" w:hAnsi="宋体" w:eastAsia="宋体"/>
          <w:color w:val="auto"/>
        </w:rPr>
        <w:t>文件中的承诺且在此期限期满之前</w:t>
      </w:r>
      <w:r>
        <w:rPr>
          <w:rFonts w:hint="eastAsia" w:ascii="宋体" w:hAnsi="宋体" w:eastAsia="宋体"/>
          <w:color w:val="auto"/>
          <w:szCs w:val="21"/>
        </w:rPr>
        <w:t>投标</w:t>
      </w:r>
      <w:r>
        <w:rPr>
          <w:rFonts w:hint="eastAsia" w:ascii="宋体" w:hAnsi="宋体" w:eastAsia="宋体"/>
          <w:color w:val="auto"/>
        </w:rPr>
        <w:t>文件</w:t>
      </w:r>
      <w:r>
        <w:rPr>
          <w:rFonts w:hint="eastAsia" w:ascii="宋体" w:hAnsi="宋体" w:eastAsia="宋体"/>
          <w:color w:val="auto"/>
          <w:szCs w:val="21"/>
        </w:rPr>
        <w:t>对我方具有法律约束力</w:t>
      </w:r>
      <w:r>
        <w:rPr>
          <w:rFonts w:hint="eastAsia" w:ascii="宋体" w:hAnsi="宋体" w:eastAsia="宋体"/>
          <w:color w:val="auto"/>
        </w:rPr>
        <w:t>。</w:t>
      </w:r>
    </w:p>
    <w:p w14:paraId="4CC132B5">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宋体" w:hAnsi="宋体" w:eastAsia="宋体"/>
          <w:color w:val="auto"/>
          <w:szCs w:val="21"/>
        </w:rPr>
      </w:pPr>
      <w:r>
        <w:rPr>
          <w:rFonts w:hint="eastAsia" w:ascii="宋体" w:hAnsi="宋体" w:eastAsia="宋体"/>
          <w:color w:val="auto"/>
        </w:rPr>
        <w:t>5、</w:t>
      </w:r>
      <w:r>
        <w:rPr>
          <w:rFonts w:hint="eastAsia" w:ascii="宋体" w:hAnsi="宋体" w:eastAsia="宋体"/>
          <w:color w:val="auto"/>
          <w:szCs w:val="21"/>
        </w:rPr>
        <w:t>同意提供贵方可能要求的与其投标有关的一切数据或资料。</w:t>
      </w:r>
    </w:p>
    <w:p w14:paraId="0E5BACA0">
      <w:pPr>
        <w:pStyle w:val="15"/>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ascii="宋体" w:hAnsi="宋体" w:eastAsia="宋体"/>
          <w:color w:val="auto"/>
        </w:rPr>
      </w:pPr>
    </w:p>
    <w:p w14:paraId="17CBD962">
      <w:pPr>
        <w:pStyle w:val="15"/>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ascii="宋体" w:hAnsi="宋体" w:eastAsia="宋体"/>
          <w:color w:val="auto"/>
        </w:rPr>
      </w:pPr>
      <w:r>
        <w:rPr>
          <w:rFonts w:hint="eastAsia" w:ascii="宋体" w:hAnsi="宋体" w:eastAsia="宋体"/>
          <w:color w:val="auto"/>
        </w:rPr>
        <w:t xml:space="preserve">投标人名称（盖单位章）：                       </w:t>
      </w:r>
    </w:p>
    <w:p w14:paraId="01731E2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ascii="宋体" w:hAnsi="宋体" w:eastAsia="宋体"/>
          <w:color w:val="auto"/>
          <w:szCs w:val="21"/>
          <w:u w:val="single"/>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szCs w:val="21"/>
        </w:rPr>
        <w:t>或其授权的代理人（签字或印章）：</w:t>
      </w:r>
      <w:r>
        <w:rPr>
          <w:rFonts w:hint="eastAsia" w:ascii="宋体" w:hAnsi="宋体" w:eastAsia="宋体"/>
          <w:color w:val="auto"/>
          <w:szCs w:val="21"/>
          <w:u w:val="single"/>
        </w:rPr>
        <w:t xml:space="preserve">               </w:t>
      </w:r>
    </w:p>
    <w:p w14:paraId="3CE91EB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ascii="黑体" w:hAnsi="宋体" w:eastAsia="黑体"/>
          <w:b/>
          <w:bCs/>
          <w:color w:val="auto"/>
          <w:sz w:val="28"/>
          <w:szCs w:val="28"/>
        </w:rPr>
      </w:pPr>
      <w:r>
        <w:rPr>
          <w:rFonts w:hint="eastAsia" w:ascii="宋体" w:hAnsi="宋体" w:eastAsia="宋体"/>
          <w:color w:val="auto"/>
          <w:szCs w:val="21"/>
        </w:rPr>
        <w:t>日期：</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rPr>
        <w:t xml:space="preserve">     </w:t>
      </w:r>
      <w:r>
        <w:rPr>
          <w:rFonts w:hint="eastAsia" w:ascii="宋体" w:hAnsi="宋体" w:eastAsia="宋体"/>
          <w:color w:val="auto"/>
          <w:szCs w:val="21"/>
        </w:rPr>
        <w:t>日</w:t>
      </w:r>
      <w:r>
        <w:rPr>
          <w:rFonts w:ascii="黑体" w:hAnsi="宋体" w:eastAsia="黑体"/>
          <w:b/>
          <w:bCs/>
          <w:color w:val="auto"/>
          <w:sz w:val="28"/>
          <w:szCs w:val="28"/>
        </w:rPr>
        <w:br w:type="page"/>
      </w:r>
    </w:p>
    <w:p w14:paraId="277A43C9">
      <w:pPr>
        <w:pStyle w:val="6"/>
        <w:adjustRightInd w:val="0"/>
        <w:snapToGrid w:val="0"/>
        <w:spacing w:before="0" w:after="0" w:line="360" w:lineRule="auto"/>
        <w:jc w:val="center"/>
        <w:rPr>
          <w:rFonts w:ascii="黑体" w:hAnsi="宋体" w:eastAsia="黑体"/>
          <w:color w:val="auto"/>
          <w:sz w:val="28"/>
          <w:szCs w:val="28"/>
        </w:rPr>
      </w:pPr>
      <w:bookmarkStart w:id="88" w:name="_Toc25418"/>
      <w:r>
        <w:rPr>
          <w:rFonts w:hint="eastAsia" w:ascii="黑体" w:hAnsi="宋体" w:eastAsia="黑体"/>
          <w:color w:val="auto"/>
          <w:sz w:val="28"/>
          <w:szCs w:val="28"/>
          <w:lang w:eastAsia="zh-CN"/>
        </w:rPr>
        <w:t>五</w:t>
      </w:r>
      <w:r>
        <w:rPr>
          <w:rFonts w:hint="eastAsia" w:ascii="黑体" w:hAnsi="宋体" w:eastAsia="黑体"/>
          <w:color w:val="auto"/>
          <w:sz w:val="28"/>
          <w:szCs w:val="28"/>
        </w:rPr>
        <w:t>、分项报价</w:t>
      </w:r>
      <w:bookmarkEnd w:id="88"/>
    </w:p>
    <w:p w14:paraId="1149B7D0">
      <w:pPr>
        <w:pStyle w:val="7"/>
        <w:jc w:val="left"/>
        <w:rPr>
          <w:rFonts w:ascii="黑体" w:hAnsi="宋体" w:cs="微软雅黑"/>
          <w:b w:val="0"/>
          <w:color w:val="auto"/>
          <w:kern w:val="0"/>
          <w:sz w:val="21"/>
          <w:szCs w:val="21"/>
        </w:rPr>
      </w:pPr>
      <w:bookmarkStart w:id="89" w:name="_Toc4027"/>
      <w:r>
        <w:rPr>
          <w:rFonts w:hint="eastAsia" w:ascii="黑体" w:hAnsi="华文中宋" w:cs="宋体"/>
          <w:b w:val="0"/>
          <w:bCs w:val="0"/>
          <w:color w:val="auto"/>
          <w:spacing w:val="6"/>
          <w:kern w:val="0"/>
          <w:sz w:val="21"/>
          <w:szCs w:val="21"/>
        </w:rPr>
        <w:t>附件</w:t>
      </w:r>
      <w:r>
        <w:rPr>
          <w:rFonts w:hint="eastAsia" w:ascii="黑体" w:hAnsi="华文中宋" w:cs="宋体"/>
          <w:b w:val="0"/>
          <w:bCs w:val="0"/>
          <w:color w:val="auto"/>
          <w:spacing w:val="6"/>
          <w:kern w:val="0"/>
          <w:sz w:val="21"/>
          <w:szCs w:val="21"/>
          <w:lang w:val="en-US" w:eastAsia="zh-CN"/>
        </w:rPr>
        <w:t>5</w:t>
      </w:r>
      <w:r>
        <w:rPr>
          <w:rFonts w:hint="eastAsia" w:ascii="黑体" w:hAnsi="华文中宋" w:cs="宋体"/>
          <w:b w:val="0"/>
          <w:bCs w:val="0"/>
          <w:color w:val="auto"/>
          <w:spacing w:val="6"/>
          <w:kern w:val="0"/>
          <w:sz w:val="21"/>
          <w:szCs w:val="21"/>
        </w:rPr>
        <w:t xml:space="preserve">-1 </w:t>
      </w:r>
      <w:r>
        <w:rPr>
          <w:rFonts w:hint="eastAsia" w:ascii="黑体" w:hAnsi="宋体" w:cs="微软雅黑"/>
          <w:b w:val="0"/>
          <w:color w:val="auto"/>
          <w:spacing w:val="-2"/>
          <w:kern w:val="0"/>
          <w:sz w:val="21"/>
          <w:szCs w:val="21"/>
        </w:rPr>
        <w:t>分</w:t>
      </w:r>
      <w:r>
        <w:rPr>
          <w:rFonts w:hint="eastAsia" w:ascii="黑体" w:hAnsi="宋体" w:cs="微软雅黑"/>
          <w:b w:val="0"/>
          <w:color w:val="auto"/>
          <w:kern w:val="0"/>
          <w:sz w:val="21"/>
          <w:szCs w:val="21"/>
        </w:rPr>
        <w:t>项</w:t>
      </w:r>
      <w:r>
        <w:rPr>
          <w:rFonts w:hint="eastAsia" w:ascii="黑体" w:hAnsi="宋体" w:cs="微软雅黑"/>
          <w:b w:val="0"/>
          <w:color w:val="auto"/>
          <w:spacing w:val="-2"/>
          <w:kern w:val="0"/>
          <w:sz w:val="21"/>
          <w:szCs w:val="21"/>
        </w:rPr>
        <w:t>报</w:t>
      </w:r>
      <w:r>
        <w:rPr>
          <w:rFonts w:hint="eastAsia" w:ascii="黑体" w:hAnsi="宋体" w:cs="微软雅黑"/>
          <w:b w:val="0"/>
          <w:color w:val="auto"/>
          <w:kern w:val="0"/>
          <w:sz w:val="21"/>
          <w:szCs w:val="21"/>
        </w:rPr>
        <w:t>价说明</w:t>
      </w:r>
      <w:bookmarkEnd w:id="89"/>
      <w:r>
        <w:rPr>
          <w:rFonts w:hint="eastAsia" w:ascii="黑体" w:hAnsi="宋体" w:cs="微软雅黑"/>
          <w:b w:val="0"/>
          <w:color w:val="auto"/>
          <w:kern w:val="0"/>
          <w:sz w:val="21"/>
          <w:szCs w:val="21"/>
        </w:rPr>
        <w:t xml:space="preserve">  </w:t>
      </w:r>
    </w:p>
    <w:p w14:paraId="5DB37007">
      <w:pPr>
        <w:autoSpaceDE w:val="0"/>
        <w:autoSpaceDN w:val="0"/>
        <w:adjustRightInd w:val="0"/>
        <w:snapToGrid w:val="0"/>
        <w:spacing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spacing w:val="-2"/>
          <w:kern w:val="0"/>
          <w:sz w:val="28"/>
          <w:szCs w:val="28"/>
        </w:rPr>
        <w:t>分</w:t>
      </w:r>
      <w:r>
        <w:rPr>
          <w:rFonts w:hint="eastAsia" w:ascii="黑体" w:hAnsi="宋体" w:eastAsia="黑体" w:cs="微软雅黑"/>
          <w:b/>
          <w:color w:val="auto"/>
          <w:kern w:val="0"/>
          <w:sz w:val="28"/>
          <w:szCs w:val="28"/>
        </w:rPr>
        <w:t>项</w:t>
      </w:r>
      <w:r>
        <w:rPr>
          <w:rFonts w:hint="eastAsia" w:ascii="黑体" w:hAnsi="宋体" w:eastAsia="黑体" w:cs="微软雅黑"/>
          <w:b/>
          <w:color w:val="auto"/>
          <w:spacing w:val="-2"/>
          <w:kern w:val="0"/>
          <w:sz w:val="28"/>
          <w:szCs w:val="28"/>
        </w:rPr>
        <w:t>报</w:t>
      </w:r>
      <w:r>
        <w:rPr>
          <w:rFonts w:hint="eastAsia" w:ascii="黑体" w:hAnsi="宋体" w:eastAsia="黑体" w:cs="微软雅黑"/>
          <w:b/>
          <w:color w:val="auto"/>
          <w:kern w:val="0"/>
          <w:sz w:val="28"/>
          <w:szCs w:val="28"/>
        </w:rPr>
        <w:t>价说明</w:t>
      </w:r>
    </w:p>
    <w:p w14:paraId="39DFCD76">
      <w:pPr>
        <w:autoSpaceDE w:val="0"/>
        <w:autoSpaceDN w:val="0"/>
        <w:adjustRightInd w:val="0"/>
        <w:snapToGrid w:val="0"/>
        <w:spacing w:line="360" w:lineRule="auto"/>
        <w:jc w:val="left"/>
        <w:rPr>
          <w:rFonts w:ascii="宋体" w:hAnsi="宋体" w:eastAsia="宋体" w:cs="微软雅黑"/>
          <w:color w:val="auto"/>
          <w:kern w:val="0"/>
          <w:szCs w:val="21"/>
        </w:rPr>
      </w:pPr>
      <w:r>
        <w:rPr>
          <w:rFonts w:hint="eastAsia" w:ascii="宋体" w:hAnsi="宋体" w:eastAsia="宋体" w:cs="微软雅黑"/>
          <w:color w:val="auto"/>
          <w:kern w:val="0"/>
          <w:szCs w:val="21"/>
        </w:rPr>
        <w:t>备注：投标人应按招标文件第二章相关要求，对本节</w:t>
      </w:r>
      <w:r>
        <w:rPr>
          <w:rFonts w:hint="eastAsia" w:ascii="宋体" w:hAnsi="宋体" w:eastAsia="宋体"/>
          <w:bCs/>
          <w:color w:val="auto"/>
          <w:szCs w:val="21"/>
        </w:rPr>
        <w:t>“</w:t>
      </w:r>
      <w:r>
        <w:rPr>
          <w:rFonts w:hint="eastAsia" w:ascii="宋体" w:hAnsi="宋体" w:eastAsia="宋体" w:cs="微软雅黑"/>
          <w:color w:val="auto"/>
          <w:kern w:val="0"/>
          <w:szCs w:val="21"/>
        </w:rPr>
        <w:t>分项报价明细表</w:t>
      </w:r>
      <w:r>
        <w:rPr>
          <w:rFonts w:hint="eastAsia" w:ascii="宋体" w:hAnsi="宋体" w:eastAsia="宋体"/>
          <w:bCs/>
          <w:color w:val="auto"/>
          <w:szCs w:val="21"/>
        </w:rPr>
        <w:t>”进行</w:t>
      </w:r>
      <w:r>
        <w:rPr>
          <w:rFonts w:hint="eastAsia" w:ascii="宋体" w:hAnsi="宋体" w:eastAsia="宋体" w:cs="微软雅黑"/>
          <w:color w:val="auto"/>
          <w:kern w:val="0"/>
          <w:szCs w:val="21"/>
        </w:rPr>
        <w:t>编制，并说明。</w:t>
      </w:r>
    </w:p>
    <w:p w14:paraId="3A337520">
      <w:pPr>
        <w:rPr>
          <w:color w:val="auto"/>
        </w:rPr>
      </w:pPr>
    </w:p>
    <w:p w14:paraId="407A8D77">
      <w:pPr>
        <w:rPr>
          <w:rFonts w:hint="eastAsia" w:ascii="黑体" w:hAnsi="华文中宋" w:cs="宋体"/>
          <w:b w:val="0"/>
          <w:bCs w:val="0"/>
          <w:color w:val="auto"/>
          <w:spacing w:val="6"/>
          <w:kern w:val="0"/>
          <w:sz w:val="21"/>
          <w:szCs w:val="21"/>
        </w:rPr>
      </w:pPr>
      <w:bookmarkStart w:id="90" w:name="_Toc2189"/>
      <w:r>
        <w:rPr>
          <w:rFonts w:hint="eastAsia" w:ascii="黑体" w:hAnsi="华文中宋" w:cs="宋体"/>
          <w:b w:val="0"/>
          <w:bCs w:val="0"/>
          <w:color w:val="auto"/>
          <w:spacing w:val="6"/>
          <w:kern w:val="0"/>
          <w:sz w:val="21"/>
          <w:szCs w:val="21"/>
        </w:rPr>
        <w:br w:type="page"/>
      </w:r>
    </w:p>
    <w:p w14:paraId="53A4CEF6">
      <w:pPr>
        <w:pStyle w:val="7"/>
        <w:jc w:val="left"/>
        <w:rPr>
          <w:rFonts w:ascii="黑体" w:hAnsi="宋体" w:cs="微软雅黑"/>
          <w:b w:val="0"/>
          <w:color w:val="auto"/>
          <w:kern w:val="0"/>
          <w:sz w:val="21"/>
          <w:szCs w:val="21"/>
        </w:rPr>
      </w:pPr>
      <w:r>
        <w:rPr>
          <w:rFonts w:hint="eastAsia" w:ascii="黑体" w:hAnsi="华文中宋" w:cs="宋体"/>
          <w:b w:val="0"/>
          <w:bCs w:val="0"/>
          <w:color w:val="auto"/>
          <w:spacing w:val="6"/>
          <w:kern w:val="0"/>
          <w:sz w:val="21"/>
          <w:szCs w:val="21"/>
        </w:rPr>
        <w:t>附件</w:t>
      </w:r>
      <w:r>
        <w:rPr>
          <w:rFonts w:hint="eastAsia" w:ascii="黑体" w:hAnsi="华文中宋" w:cs="宋体"/>
          <w:b w:val="0"/>
          <w:bCs w:val="0"/>
          <w:color w:val="auto"/>
          <w:spacing w:val="6"/>
          <w:kern w:val="0"/>
          <w:sz w:val="21"/>
          <w:szCs w:val="21"/>
          <w:lang w:val="en-US" w:eastAsia="zh-CN"/>
        </w:rPr>
        <w:t>5</w:t>
      </w:r>
      <w:r>
        <w:rPr>
          <w:rFonts w:hint="eastAsia" w:ascii="黑体" w:hAnsi="华文中宋" w:cs="宋体"/>
          <w:b w:val="0"/>
          <w:bCs w:val="0"/>
          <w:color w:val="auto"/>
          <w:spacing w:val="6"/>
          <w:kern w:val="0"/>
          <w:sz w:val="21"/>
          <w:szCs w:val="21"/>
        </w:rPr>
        <w:t xml:space="preserve">-2 </w:t>
      </w:r>
      <w:r>
        <w:rPr>
          <w:rFonts w:hint="eastAsia" w:ascii="黑体" w:hAnsi="宋体" w:cs="微软雅黑"/>
          <w:b w:val="0"/>
          <w:color w:val="auto"/>
          <w:spacing w:val="-2"/>
          <w:kern w:val="0"/>
          <w:position w:val="-3"/>
          <w:sz w:val="21"/>
          <w:szCs w:val="21"/>
        </w:rPr>
        <w:t>分</w:t>
      </w:r>
      <w:r>
        <w:rPr>
          <w:rFonts w:hint="eastAsia" w:ascii="黑体" w:hAnsi="宋体" w:cs="微软雅黑"/>
          <w:b w:val="0"/>
          <w:color w:val="auto"/>
          <w:kern w:val="0"/>
          <w:position w:val="-3"/>
          <w:sz w:val="21"/>
          <w:szCs w:val="21"/>
        </w:rPr>
        <w:t>项</w:t>
      </w:r>
      <w:r>
        <w:rPr>
          <w:rFonts w:hint="eastAsia" w:ascii="黑体" w:hAnsi="宋体" w:cs="微软雅黑"/>
          <w:b w:val="0"/>
          <w:color w:val="auto"/>
          <w:spacing w:val="-2"/>
          <w:kern w:val="0"/>
          <w:position w:val="-3"/>
          <w:sz w:val="21"/>
          <w:szCs w:val="21"/>
        </w:rPr>
        <w:t>报</w:t>
      </w:r>
      <w:r>
        <w:rPr>
          <w:rFonts w:hint="eastAsia" w:ascii="黑体" w:hAnsi="宋体" w:cs="微软雅黑"/>
          <w:b w:val="0"/>
          <w:color w:val="auto"/>
          <w:kern w:val="0"/>
          <w:position w:val="-3"/>
          <w:sz w:val="21"/>
          <w:szCs w:val="21"/>
        </w:rPr>
        <w:t>价明细表</w:t>
      </w:r>
      <w:bookmarkEnd w:id="90"/>
    </w:p>
    <w:p w14:paraId="0CC82536">
      <w:pPr>
        <w:adjustRightInd w:val="0"/>
        <w:snapToGrid w:val="0"/>
        <w:spacing w:line="360" w:lineRule="auto"/>
        <w:jc w:val="center"/>
        <w:rPr>
          <w:rFonts w:hint="eastAsia" w:ascii="黑体" w:hAnsi="宋体" w:eastAsia="黑体" w:cs="微软雅黑"/>
          <w:b/>
          <w:color w:val="auto"/>
          <w:kern w:val="0"/>
          <w:position w:val="-3"/>
          <w:sz w:val="28"/>
          <w:szCs w:val="28"/>
          <w:lang w:eastAsia="zh-CN"/>
        </w:rPr>
      </w:pPr>
      <w:r>
        <w:rPr>
          <w:rFonts w:hint="eastAsia" w:ascii="黑体" w:hAnsi="宋体" w:eastAsia="黑体" w:cs="微软雅黑"/>
          <w:b/>
          <w:color w:val="auto"/>
          <w:spacing w:val="-2"/>
          <w:kern w:val="0"/>
          <w:position w:val="-3"/>
          <w:sz w:val="28"/>
          <w:szCs w:val="28"/>
        </w:rPr>
        <w:t>分</w:t>
      </w:r>
      <w:r>
        <w:rPr>
          <w:rFonts w:hint="eastAsia" w:ascii="黑体" w:hAnsi="宋体" w:eastAsia="黑体" w:cs="微软雅黑"/>
          <w:b/>
          <w:color w:val="auto"/>
          <w:kern w:val="0"/>
          <w:position w:val="-3"/>
          <w:sz w:val="28"/>
          <w:szCs w:val="28"/>
        </w:rPr>
        <w:t>项</w:t>
      </w:r>
      <w:r>
        <w:rPr>
          <w:rFonts w:hint="eastAsia" w:ascii="黑体" w:hAnsi="宋体" w:eastAsia="黑体" w:cs="微软雅黑"/>
          <w:b/>
          <w:color w:val="auto"/>
          <w:spacing w:val="-2"/>
          <w:kern w:val="0"/>
          <w:position w:val="-3"/>
          <w:sz w:val="28"/>
          <w:szCs w:val="28"/>
        </w:rPr>
        <w:t>报</w:t>
      </w:r>
      <w:r>
        <w:rPr>
          <w:rFonts w:hint="eastAsia" w:ascii="黑体" w:hAnsi="宋体" w:eastAsia="黑体" w:cs="微软雅黑"/>
          <w:b/>
          <w:color w:val="auto"/>
          <w:kern w:val="0"/>
          <w:position w:val="-3"/>
          <w:sz w:val="28"/>
          <w:szCs w:val="28"/>
        </w:rPr>
        <w:t>价明细表</w:t>
      </w:r>
      <w:r>
        <w:rPr>
          <w:rFonts w:hint="eastAsia" w:ascii="黑体" w:hAnsi="宋体" w:eastAsia="黑体" w:cs="微软雅黑"/>
          <w:b/>
          <w:color w:val="auto"/>
          <w:kern w:val="0"/>
          <w:position w:val="-3"/>
          <w:sz w:val="28"/>
          <w:szCs w:val="28"/>
          <w:lang w:eastAsia="zh-CN"/>
        </w:rPr>
        <w:t>（</w:t>
      </w:r>
      <w:r>
        <w:rPr>
          <w:rFonts w:hint="eastAsia" w:ascii="黑体" w:hAnsi="宋体" w:eastAsia="黑体" w:cs="微软雅黑"/>
          <w:b/>
          <w:color w:val="auto"/>
          <w:kern w:val="0"/>
          <w:position w:val="-3"/>
          <w:sz w:val="28"/>
          <w:szCs w:val="28"/>
          <w:lang w:val="en-US" w:eastAsia="zh-CN"/>
        </w:rPr>
        <w:t>按招标人发布的工程量清单表提供，如有</w:t>
      </w:r>
      <w:r>
        <w:rPr>
          <w:rFonts w:hint="eastAsia" w:ascii="黑体" w:hAnsi="宋体" w:eastAsia="黑体" w:cs="微软雅黑"/>
          <w:b/>
          <w:color w:val="auto"/>
          <w:kern w:val="0"/>
          <w:position w:val="-3"/>
          <w:sz w:val="28"/>
          <w:szCs w:val="28"/>
          <w:lang w:eastAsia="zh-CN"/>
        </w:rPr>
        <w:t>）</w:t>
      </w:r>
    </w:p>
    <w:p w14:paraId="383EA994">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项目名称：</w:t>
      </w:r>
      <w:r>
        <w:rPr>
          <w:rFonts w:hint="eastAsia" w:ascii="宋体" w:hAnsi="宋体" w:eastAsia="宋体"/>
          <w:color w:val="auto"/>
          <w:szCs w:val="21"/>
          <w:u w:val="single"/>
        </w:rPr>
        <w:t xml:space="preserve">                   </w:t>
      </w:r>
      <w:r>
        <w:rPr>
          <w:rFonts w:hint="eastAsia" w:ascii="宋体" w:hAnsi="宋体" w:eastAsia="宋体"/>
          <w:color w:val="auto"/>
          <w:szCs w:val="21"/>
        </w:rPr>
        <w:t xml:space="preserve"> </w:t>
      </w:r>
    </w:p>
    <w:p w14:paraId="7A2ACAFF">
      <w:pPr>
        <w:adjustRightInd w:val="0"/>
        <w:snapToGrid w:val="0"/>
        <w:spacing w:line="360" w:lineRule="auto"/>
        <w:rPr>
          <w:rFonts w:ascii="宋体" w:hAnsi="宋体" w:eastAsia="宋体"/>
          <w:color w:val="auto"/>
          <w:szCs w:val="21"/>
        </w:rPr>
      </w:pPr>
      <w:r>
        <w:rPr>
          <w:rFonts w:hint="eastAsia" w:ascii="宋体" w:hAnsi="宋体" w:eastAsia="宋体"/>
          <w:color w:val="auto"/>
          <w:szCs w:val="21"/>
        </w:rPr>
        <w:t>包号：</w:t>
      </w:r>
      <w:r>
        <w:rPr>
          <w:rFonts w:hint="eastAsia" w:ascii="宋体" w:hAnsi="宋体" w:eastAsia="宋体"/>
          <w:color w:val="auto"/>
          <w:szCs w:val="21"/>
          <w:u w:val="single"/>
        </w:rPr>
        <w:t xml:space="preserve">                        </w:t>
      </w:r>
      <w:r>
        <w:rPr>
          <w:rFonts w:hint="eastAsia" w:ascii="宋体" w:hAnsi="宋体" w:eastAsia="宋体"/>
          <w:color w:val="auto"/>
          <w:szCs w:val="21"/>
        </w:rPr>
        <w:t xml:space="preserve">                      包名称：</w:t>
      </w:r>
      <w:r>
        <w:rPr>
          <w:rFonts w:hint="eastAsia" w:ascii="宋体" w:hAnsi="宋体" w:eastAsia="宋体"/>
          <w:color w:val="auto"/>
          <w:szCs w:val="21"/>
          <w:u w:val="single"/>
        </w:rPr>
        <w:t xml:space="preserve">                 </w:t>
      </w:r>
      <w:r>
        <w:rPr>
          <w:rFonts w:hint="eastAsia" w:ascii="宋体" w:hAnsi="宋体" w:eastAsia="宋体"/>
          <w:color w:val="auto"/>
          <w:szCs w:val="21"/>
        </w:rPr>
        <w:t xml:space="preserve"> </w:t>
      </w:r>
    </w:p>
    <w:tbl>
      <w:tblPr>
        <w:tblStyle w:val="25"/>
        <w:tblpPr w:leftFromText="180" w:rightFromText="180" w:vertAnchor="text" w:horzAnchor="page" w:tblpX="1667" w:tblpY="307"/>
        <w:tblOverlap w:val="never"/>
        <w:tblW w:w="909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542"/>
        <w:gridCol w:w="975"/>
        <w:gridCol w:w="1368"/>
        <w:gridCol w:w="746"/>
        <w:gridCol w:w="935"/>
        <w:gridCol w:w="1388"/>
        <w:gridCol w:w="1269"/>
      </w:tblGrid>
      <w:tr w14:paraId="5E7DE4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874" w:type="dxa"/>
            <w:noWrap w:val="0"/>
            <w:vAlign w:val="center"/>
          </w:tcPr>
          <w:p w14:paraId="1D0544FA">
            <w:pPr>
              <w:adjustRightInd w:val="0"/>
              <w:snapToGrid w:val="0"/>
              <w:spacing w:line="360" w:lineRule="auto"/>
              <w:jc w:val="center"/>
              <w:rPr>
                <w:rFonts w:hint="eastAsia" w:ascii="宋体" w:hAnsi="宋体"/>
                <w:color w:val="auto"/>
                <w:szCs w:val="21"/>
              </w:rPr>
            </w:pPr>
            <w:r>
              <w:rPr>
                <w:rFonts w:hint="eastAsia" w:ascii="宋体" w:hAnsi="宋体"/>
                <w:color w:val="auto"/>
                <w:szCs w:val="21"/>
              </w:rPr>
              <w:t>序号</w:t>
            </w:r>
          </w:p>
        </w:tc>
        <w:tc>
          <w:tcPr>
            <w:tcW w:w="1542" w:type="dxa"/>
            <w:noWrap w:val="0"/>
            <w:vAlign w:val="center"/>
          </w:tcPr>
          <w:p w14:paraId="237453EC">
            <w:pPr>
              <w:adjustRightInd w:val="0"/>
              <w:snapToGrid w:val="0"/>
              <w:spacing w:line="360" w:lineRule="auto"/>
              <w:jc w:val="center"/>
              <w:rPr>
                <w:rFonts w:hint="eastAsia" w:ascii="宋体" w:hAnsi="宋体"/>
                <w:color w:val="auto"/>
                <w:szCs w:val="21"/>
              </w:rPr>
            </w:pPr>
            <w:r>
              <w:rPr>
                <w:rFonts w:hint="eastAsia" w:ascii="宋体" w:hAnsi="宋体"/>
                <w:color w:val="auto"/>
                <w:szCs w:val="21"/>
              </w:rPr>
              <w:t>服务名称</w:t>
            </w:r>
          </w:p>
        </w:tc>
        <w:tc>
          <w:tcPr>
            <w:tcW w:w="975" w:type="dxa"/>
            <w:noWrap w:val="0"/>
            <w:vAlign w:val="center"/>
          </w:tcPr>
          <w:p w14:paraId="2A3D1CE3">
            <w:pPr>
              <w:adjustRightInd w:val="0"/>
              <w:snapToGrid w:val="0"/>
              <w:spacing w:line="360" w:lineRule="auto"/>
              <w:jc w:val="center"/>
              <w:rPr>
                <w:rFonts w:hint="eastAsia" w:ascii="宋体" w:hAnsi="宋体"/>
                <w:color w:val="auto"/>
                <w:szCs w:val="21"/>
              </w:rPr>
            </w:pPr>
            <w:r>
              <w:rPr>
                <w:rFonts w:hint="eastAsia" w:ascii="宋体" w:hAnsi="宋体"/>
                <w:color w:val="auto"/>
                <w:szCs w:val="21"/>
              </w:rPr>
              <w:t>计量单位</w:t>
            </w:r>
          </w:p>
        </w:tc>
        <w:tc>
          <w:tcPr>
            <w:tcW w:w="1368" w:type="dxa"/>
            <w:noWrap w:val="0"/>
            <w:vAlign w:val="center"/>
          </w:tcPr>
          <w:p w14:paraId="12D69094">
            <w:pPr>
              <w:adjustRightInd w:val="0"/>
              <w:snapToGrid w:val="0"/>
              <w:spacing w:line="360" w:lineRule="auto"/>
              <w:jc w:val="center"/>
              <w:rPr>
                <w:rFonts w:hint="eastAsia" w:ascii="宋体" w:hAnsi="宋体"/>
                <w:color w:val="auto"/>
                <w:szCs w:val="21"/>
              </w:rPr>
            </w:pPr>
            <w:r>
              <w:rPr>
                <w:rFonts w:hint="eastAsia" w:ascii="宋体" w:hAnsi="宋体"/>
                <w:color w:val="auto"/>
                <w:szCs w:val="21"/>
              </w:rPr>
              <w:t>具体要求说明</w:t>
            </w:r>
          </w:p>
        </w:tc>
        <w:tc>
          <w:tcPr>
            <w:tcW w:w="746" w:type="dxa"/>
            <w:noWrap w:val="0"/>
            <w:vAlign w:val="center"/>
          </w:tcPr>
          <w:p w14:paraId="5AAD82C4">
            <w:pPr>
              <w:adjustRightInd w:val="0"/>
              <w:snapToGrid w:val="0"/>
              <w:spacing w:line="360" w:lineRule="auto"/>
              <w:jc w:val="center"/>
              <w:rPr>
                <w:rFonts w:hint="eastAsia" w:ascii="宋体" w:hAnsi="宋体"/>
                <w:color w:val="auto"/>
                <w:szCs w:val="21"/>
              </w:rPr>
            </w:pPr>
            <w:r>
              <w:rPr>
                <w:rFonts w:hint="eastAsia" w:ascii="宋体" w:hAnsi="宋体"/>
                <w:color w:val="auto"/>
                <w:szCs w:val="21"/>
              </w:rPr>
              <w:t>单价</w:t>
            </w:r>
          </w:p>
        </w:tc>
        <w:tc>
          <w:tcPr>
            <w:tcW w:w="935" w:type="dxa"/>
            <w:noWrap w:val="0"/>
            <w:vAlign w:val="center"/>
          </w:tcPr>
          <w:p w14:paraId="1EBA21D1">
            <w:pPr>
              <w:adjustRightInd w:val="0"/>
              <w:snapToGrid w:val="0"/>
              <w:spacing w:line="360" w:lineRule="auto"/>
              <w:jc w:val="center"/>
              <w:rPr>
                <w:rFonts w:hint="eastAsia" w:ascii="宋体" w:hAnsi="宋体"/>
                <w:color w:val="auto"/>
                <w:szCs w:val="21"/>
              </w:rPr>
            </w:pPr>
            <w:r>
              <w:rPr>
                <w:rFonts w:hint="eastAsia" w:ascii="宋体" w:hAnsi="宋体"/>
                <w:color w:val="auto"/>
                <w:szCs w:val="21"/>
              </w:rPr>
              <w:t>数量</w:t>
            </w:r>
          </w:p>
        </w:tc>
        <w:tc>
          <w:tcPr>
            <w:tcW w:w="1388" w:type="dxa"/>
            <w:noWrap w:val="0"/>
            <w:vAlign w:val="center"/>
          </w:tcPr>
          <w:p w14:paraId="2F738AAC">
            <w:pPr>
              <w:adjustRightInd w:val="0"/>
              <w:snapToGrid w:val="0"/>
              <w:spacing w:line="360" w:lineRule="auto"/>
              <w:jc w:val="center"/>
              <w:rPr>
                <w:rFonts w:hint="eastAsia" w:ascii="宋体" w:hAnsi="宋体"/>
                <w:color w:val="auto"/>
                <w:szCs w:val="21"/>
              </w:rPr>
            </w:pPr>
            <w:r>
              <w:rPr>
                <w:rFonts w:hint="eastAsia" w:ascii="宋体" w:hAnsi="宋体"/>
                <w:color w:val="auto"/>
                <w:szCs w:val="21"/>
              </w:rPr>
              <w:t>合计</w:t>
            </w:r>
          </w:p>
        </w:tc>
        <w:tc>
          <w:tcPr>
            <w:tcW w:w="1269" w:type="dxa"/>
            <w:noWrap w:val="0"/>
            <w:vAlign w:val="center"/>
          </w:tcPr>
          <w:p w14:paraId="05932D68">
            <w:pPr>
              <w:adjustRightInd w:val="0"/>
              <w:snapToGrid w:val="0"/>
              <w:spacing w:line="360" w:lineRule="auto"/>
              <w:jc w:val="center"/>
              <w:rPr>
                <w:rFonts w:hint="eastAsia" w:ascii="宋体" w:hAnsi="宋体"/>
                <w:color w:val="auto"/>
                <w:szCs w:val="21"/>
              </w:rPr>
            </w:pPr>
            <w:r>
              <w:rPr>
                <w:rFonts w:hint="eastAsia" w:ascii="宋体" w:hAnsi="宋体"/>
                <w:color w:val="auto"/>
                <w:szCs w:val="21"/>
              </w:rPr>
              <w:t>备注</w:t>
            </w:r>
          </w:p>
        </w:tc>
      </w:tr>
      <w:tr w14:paraId="46018D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4" w:type="dxa"/>
            <w:noWrap w:val="0"/>
            <w:vAlign w:val="center"/>
          </w:tcPr>
          <w:p w14:paraId="66777259">
            <w:pPr>
              <w:adjustRightInd w:val="0"/>
              <w:snapToGrid w:val="0"/>
              <w:spacing w:line="360" w:lineRule="auto"/>
              <w:jc w:val="center"/>
              <w:rPr>
                <w:rFonts w:hint="eastAsia" w:ascii="宋体" w:hAnsi="宋体"/>
                <w:color w:val="auto"/>
                <w:szCs w:val="21"/>
              </w:rPr>
            </w:pPr>
          </w:p>
        </w:tc>
        <w:tc>
          <w:tcPr>
            <w:tcW w:w="1542" w:type="dxa"/>
            <w:noWrap w:val="0"/>
            <w:vAlign w:val="center"/>
          </w:tcPr>
          <w:p w14:paraId="3EE09E63">
            <w:pPr>
              <w:adjustRightInd w:val="0"/>
              <w:snapToGrid w:val="0"/>
              <w:spacing w:line="360" w:lineRule="auto"/>
              <w:jc w:val="center"/>
              <w:rPr>
                <w:rFonts w:hint="eastAsia" w:ascii="宋体" w:hAnsi="宋体"/>
                <w:color w:val="auto"/>
                <w:szCs w:val="21"/>
              </w:rPr>
            </w:pPr>
          </w:p>
        </w:tc>
        <w:tc>
          <w:tcPr>
            <w:tcW w:w="975" w:type="dxa"/>
            <w:noWrap w:val="0"/>
            <w:vAlign w:val="top"/>
          </w:tcPr>
          <w:p w14:paraId="1938E691">
            <w:pPr>
              <w:adjustRightInd w:val="0"/>
              <w:snapToGrid w:val="0"/>
              <w:spacing w:line="360" w:lineRule="auto"/>
              <w:jc w:val="center"/>
              <w:rPr>
                <w:rFonts w:hint="eastAsia" w:ascii="宋体" w:hAnsi="宋体"/>
                <w:color w:val="auto"/>
                <w:szCs w:val="21"/>
              </w:rPr>
            </w:pPr>
          </w:p>
        </w:tc>
        <w:tc>
          <w:tcPr>
            <w:tcW w:w="1368" w:type="dxa"/>
            <w:noWrap w:val="0"/>
            <w:vAlign w:val="top"/>
          </w:tcPr>
          <w:p w14:paraId="6A596868">
            <w:pPr>
              <w:adjustRightInd w:val="0"/>
              <w:snapToGrid w:val="0"/>
              <w:spacing w:line="360" w:lineRule="auto"/>
              <w:jc w:val="center"/>
              <w:rPr>
                <w:rFonts w:hint="eastAsia" w:ascii="宋体" w:hAnsi="宋体"/>
                <w:color w:val="auto"/>
                <w:szCs w:val="21"/>
              </w:rPr>
            </w:pPr>
          </w:p>
        </w:tc>
        <w:tc>
          <w:tcPr>
            <w:tcW w:w="746" w:type="dxa"/>
            <w:noWrap w:val="0"/>
            <w:vAlign w:val="center"/>
          </w:tcPr>
          <w:p w14:paraId="4719EEB4">
            <w:pPr>
              <w:adjustRightInd w:val="0"/>
              <w:snapToGrid w:val="0"/>
              <w:spacing w:line="360" w:lineRule="auto"/>
              <w:jc w:val="center"/>
              <w:rPr>
                <w:rFonts w:hint="eastAsia" w:ascii="宋体" w:hAnsi="宋体"/>
                <w:color w:val="auto"/>
                <w:szCs w:val="21"/>
              </w:rPr>
            </w:pPr>
          </w:p>
        </w:tc>
        <w:tc>
          <w:tcPr>
            <w:tcW w:w="935" w:type="dxa"/>
            <w:noWrap w:val="0"/>
            <w:vAlign w:val="center"/>
          </w:tcPr>
          <w:p w14:paraId="7CE8C599">
            <w:pPr>
              <w:adjustRightInd w:val="0"/>
              <w:snapToGrid w:val="0"/>
              <w:spacing w:line="360" w:lineRule="auto"/>
              <w:jc w:val="center"/>
              <w:rPr>
                <w:rFonts w:hint="eastAsia" w:ascii="宋体" w:hAnsi="宋体"/>
                <w:color w:val="auto"/>
                <w:szCs w:val="21"/>
              </w:rPr>
            </w:pPr>
          </w:p>
        </w:tc>
        <w:tc>
          <w:tcPr>
            <w:tcW w:w="1388" w:type="dxa"/>
            <w:noWrap w:val="0"/>
            <w:vAlign w:val="top"/>
          </w:tcPr>
          <w:p w14:paraId="534E8FAE">
            <w:pPr>
              <w:adjustRightInd w:val="0"/>
              <w:snapToGrid w:val="0"/>
              <w:spacing w:line="360" w:lineRule="auto"/>
              <w:jc w:val="center"/>
              <w:rPr>
                <w:rFonts w:hint="eastAsia" w:ascii="宋体" w:hAnsi="宋体"/>
                <w:color w:val="auto"/>
                <w:szCs w:val="21"/>
              </w:rPr>
            </w:pPr>
          </w:p>
        </w:tc>
        <w:tc>
          <w:tcPr>
            <w:tcW w:w="1269" w:type="dxa"/>
            <w:noWrap w:val="0"/>
            <w:vAlign w:val="center"/>
          </w:tcPr>
          <w:p w14:paraId="49390E42">
            <w:pPr>
              <w:adjustRightInd w:val="0"/>
              <w:snapToGrid w:val="0"/>
              <w:spacing w:line="360" w:lineRule="auto"/>
              <w:jc w:val="center"/>
              <w:rPr>
                <w:rFonts w:hint="eastAsia" w:ascii="宋体" w:hAnsi="宋体"/>
                <w:color w:val="auto"/>
                <w:szCs w:val="21"/>
              </w:rPr>
            </w:pPr>
          </w:p>
        </w:tc>
      </w:tr>
      <w:tr w14:paraId="3E569D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4" w:type="dxa"/>
            <w:noWrap w:val="0"/>
            <w:vAlign w:val="center"/>
          </w:tcPr>
          <w:p w14:paraId="6766089E">
            <w:pPr>
              <w:adjustRightInd w:val="0"/>
              <w:snapToGrid w:val="0"/>
              <w:spacing w:line="360" w:lineRule="auto"/>
              <w:jc w:val="center"/>
              <w:rPr>
                <w:rFonts w:hint="eastAsia" w:ascii="宋体" w:hAnsi="宋体"/>
                <w:color w:val="auto"/>
                <w:szCs w:val="21"/>
              </w:rPr>
            </w:pPr>
          </w:p>
        </w:tc>
        <w:tc>
          <w:tcPr>
            <w:tcW w:w="1542" w:type="dxa"/>
            <w:noWrap w:val="0"/>
            <w:vAlign w:val="center"/>
          </w:tcPr>
          <w:p w14:paraId="74E00231">
            <w:pPr>
              <w:adjustRightInd w:val="0"/>
              <w:snapToGrid w:val="0"/>
              <w:spacing w:line="360" w:lineRule="auto"/>
              <w:jc w:val="center"/>
              <w:rPr>
                <w:rFonts w:hint="eastAsia" w:ascii="宋体" w:hAnsi="宋体"/>
                <w:color w:val="auto"/>
                <w:szCs w:val="21"/>
              </w:rPr>
            </w:pPr>
          </w:p>
        </w:tc>
        <w:tc>
          <w:tcPr>
            <w:tcW w:w="975" w:type="dxa"/>
            <w:noWrap w:val="0"/>
            <w:vAlign w:val="top"/>
          </w:tcPr>
          <w:p w14:paraId="1B1B24F1">
            <w:pPr>
              <w:adjustRightInd w:val="0"/>
              <w:snapToGrid w:val="0"/>
              <w:spacing w:line="360" w:lineRule="auto"/>
              <w:jc w:val="center"/>
              <w:rPr>
                <w:rFonts w:hint="eastAsia" w:ascii="宋体" w:hAnsi="宋体"/>
                <w:color w:val="auto"/>
                <w:szCs w:val="21"/>
              </w:rPr>
            </w:pPr>
          </w:p>
        </w:tc>
        <w:tc>
          <w:tcPr>
            <w:tcW w:w="1368" w:type="dxa"/>
            <w:noWrap w:val="0"/>
            <w:vAlign w:val="top"/>
          </w:tcPr>
          <w:p w14:paraId="478B06D5">
            <w:pPr>
              <w:adjustRightInd w:val="0"/>
              <w:snapToGrid w:val="0"/>
              <w:spacing w:line="360" w:lineRule="auto"/>
              <w:jc w:val="center"/>
              <w:rPr>
                <w:rFonts w:hint="eastAsia" w:ascii="宋体" w:hAnsi="宋体"/>
                <w:color w:val="auto"/>
                <w:szCs w:val="21"/>
              </w:rPr>
            </w:pPr>
          </w:p>
        </w:tc>
        <w:tc>
          <w:tcPr>
            <w:tcW w:w="746" w:type="dxa"/>
            <w:noWrap w:val="0"/>
            <w:vAlign w:val="center"/>
          </w:tcPr>
          <w:p w14:paraId="2230EA06">
            <w:pPr>
              <w:adjustRightInd w:val="0"/>
              <w:snapToGrid w:val="0"/>
              <w:spacing w:line="360" w:lineRule="auto"/>
              <w:jc w:val="center"/>
              <w:rPr>
                <w:rFonts w:hint="eastAsia" w:ascii="宋体" w:hAnsi="宋体"/>
                <w:color w:val="auto"/>
                <w:szCs w:val="21"/>
              </w:rPr>
            </w:pPr>
          </w:p>
        </w:tc>
        <w:tc>
          <w:tcPr>
            <w:tcW w:w="935" w:type="dxa"/>
            <w:noWrap w:val="0"/>
            <w:vAlign w:val="center"/>
          </w:tcPr>
          <w:p w14:paraId="4B44DB6C">
            <w:pPr>
              <w:adjustRightInd w:val="0"/>
              <w:snapToGrid w:val="0"/>
              <w:spacing w:line="360" w:lineRule="auto"/>
              <w:jc w:val="center"/>
              <w:rPr>
                <w:rFonts w:hint="eastAsia" w:ascii="宋体" w:hAnsi="宋体"/>
                <w:color w:val="auto"/>
                <w:szCs w:val="21"/>
              </w:rPr>
            </w:pPr>
          </w:p>
        </w:tc>
        <w:tc>
          <w:tcPr>
            <w:tcW w:w="1388" w:type="dxa"/>
            <w:noWrap w:val="0"/>
            <w:vAlign w:val="top"/>
          </w:tcPr>
          <w:p w14:paraId="734B75A1">
            <w:pPr>
              <w:adjustRightInd w:val="0"/>
              <w:snapToGrid w:val="0"/>
              <w:spacing w:line="360" w:lineRule="auto"/>
              <w:jc w:val="center"/>
              <w:rPr>
                <w:rFonts w:hint="eastAsia" w:ascii="宋体" w:hAnsi="宋体"/>
                <w:color w:val="auto"/>
                <w:szCs w:val="21"/>
              </w:rPr>
            </w:pPr>
          </w:p>
        </w:tc>
        <w:tc>
          <w:tcPr>
            <w:tcW w:w="1269" w:type="dxa"/>
            <w:noWrap w:val="0"/>
            <w:vAlign w:val="center"/>
          </w:tcPr>
          <w:p w14:paraId="4DCC3768">
            <w:pPr>
              <w:adjustRightInd w:val="0"/>
              <w:snapToGrid w:val="0"/>
              <w:spacing w:line="360" w:lineRule="auto"/>
              <w:jc w:val="center"/>
              <w:rPr>
                <w:rFonts w:hint="eastAsia" w:ascii="宋体" w:hAnsi="宋体"/>
                <w:color w:val="auto"/>
                <w:szCs w:val="21"/>
              </w:rPr>
            </w:pPr>
          </w:p>
        </w:tc>
      </w:tr>
      <w:tr w14:paraId="0C1F0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4" w:type="dxa"/>
            <w:noWrap w:val="0"/>
            <w:vAlign w:val="center"/>
          </w:tcPr>
          <w:p w14:paraId="499B6DC4">
            <w:pPr>
              <w:adjustRightInd w:val="0"/>
              <w:snapToGrid w:val="0"/>
              <w:spacing w:line="360" w:lineRule="auto"/>
              <w:jc w:val="center"/>
              <w:rPr>
                <w:rFonts w:hint="eastAsia" w:ascii="宋体" w:hAnsi="宋体"/>
                <w:color w:val="auto"/>
                <w:szCs w:val="21"/>
              </w:rPr>
            </w:pPr>
          </w:p>
        </w:tc>
        <w:tc>
          <w:tcPr>
            <w:tcW w:w="1542" w:type="dxa"/>
            <w:noWrap w:val="0"/>
            <w:vAlign w:val="center"/>
          </w:tcPr>
          <w:p w14:paraId="78E78BF3">
            <w:pPr>
              <w:adjustRightInd w:val="0"/>
              <w:snapToGrid w:val="0"/>
              <w:spacing w:line="360" w:lineRule="auto"/>
              <w:jc w:val="center"/>
              <w:rPr>
                <w:rFonts w:hint="eastAsia" w:ascii="宋体" w:hAnsi="宋体"/>
                <w:color w:val="auto"/>
                <w:szCs w:val="21"/>
              </w:rPr>
            </w:pPr>
          </w:p>
        </w:tc>
        <w:tc>
          <w:tcPr>
            <w:tcW w:w="975" w:type="dxa"/>
            <w:noWrap w:val="0"/>
            <w:vAlign w:val="top"/>
          </w:tcPr>
          <w:p w14:paraId="0A2F3041">
            <w:pPr>
              <w:adjustRightInd w:val="0"/>
              <w:snapToGrid w:val="0"/>
              <w:spacing w:line="360" w:lineRule="auto"/>
              <w:jc w:val="center"/>
              <w:rPr>
                <w:rFonts w:hint="eastAsia" w:ascii="宋体" w:hAnsi="宋体"/>
                <w:color w:val="auto"/>
                <w:szCs w:val="21"/>
              </w:rPr>
            </w:pPr>
          </w:p>
        </w:tc>
        <w:tc>
          <w:tcPr>
            <w:tcW w:w="1368" w:type="dxa"/>
            <w:noWrap w:val="0"/>
            <w:vAlign w:val="top"/>
          </w:tcPr>
          <w:p w14:paraId="33801BAB">
            <w:pPr>
              <w:adjustRightInd w:val="0"/>
              <w:snapToGrid w:val="0"/>
              <w:spacing w:line="360" w:lineRule="auto"/>
              <w:jc w:val="center"/>
              <w:rPr>
                <w:rFonts w:hint="eastAsia" w:ascii="宋体" w:hAnsi="宋体"/>
                <w:color w:val="auto"/>
                <w:szCs w:val="21"/>
              </w:rPr>
            </w:pPr>
          </w:p>
        </w:tc>
        <w:tc>
          <w:tcPr>
            <w:tcW w:w="746" w:type="dxa"/>
            <w:noWrap w:val="0"/>
            <w:vAlign w:val="center"/>
          </w:tcPr>
          <w:p w14:paraId="07F4512A">
            <w:pPr>
              <w:adjustRightInd w:val="0"/>
              <w:snapToGrid w:val="0"/>
              <w:spacing w:line="360" w:lineRule="auto"/>
              <w:jc w:val="center"/>
              <w:rPr>
                <w:rFonts w:hint="eastAsia" w:ascii="宋体" w:hAnsi="宋体"/>
                <w:color w:val="auto"/>
                <w:szCs w:val="21"/>
              </w:rPr>
            </w:pPr>
          </w:p>
        </w:tc>
        <w:tc>
          <w:tcPr>
            <w:tcW w:w="935" w:type="dxa"/>
            <w:noWrap w:val="0"/>
            <w:vAlign w:val="center"/>
          </w:tcPr>
          <w:p w14:paraId="05FB3F3C">
            <w:pPr>
              <w:adjustRightInd w:val="0"/>
              <w:snapToGrid w:val="0"/>
              <w:spacing w:line="360" w:lineRule="auto"/>
              <w:jc w:val="center"/>
              <w:rPr>
                <w:rFonts w:hint="eastAsia" w:ascii="宋体" w:hAnsi="宋体"/>
                <w:color w:val="auto"/>
                <w:szCs w:val="21"/>
              </w:rPr>
            </w:pPr>
          </w:p>
        </w:tc>
        <w:tc>
          <w:tcPr>
            <w:tcW w:w="1388" w:type="dxa"/>
            <w:noWrap w:val="0"/>
            <w:vAlign w:val="top"/>
          </w:tcPr>
          <w:p w14:paraId="2E8CBE7F">
            <w:pPr>
              <w:adjustRightInd w:val="0"/>
              <w:snapToGrid w:val="0"/>
              <w:spacing w:line="360" w:lineRule="auto"/>
              <w:jc w:val="center"/>
              <w:rPr>
                <w:rFonts w:hint="eastAsia" w:ascii="宋体" w:hAnsi="宋体"/>
                <w:color w:val="auto"/>
                <w:szCs w:val="21"/>
              </w:rPr>
            </w:pPr>
          </w:p>
        </w:tc>
        <w:tc>
          <w:tcPr>
            <w:tcW w:w="1269" w:type="dxa"/>
            <w:noWrap w:val="0"/>
            <w:vAlign w:val="center"/>
          </w:tcPr>
          <w:p w14:paraId="7214A7A9">
            <w:pPr>
              <w:adjustRightInd w:val="0"/>
              <w:snapToGrid w:val="0"/>
              <w:spacing w:line="360" w:lineRule="auto"/>
              <w:jc w:val="center"/>
              <w:rPr>
                <w:rFonts w:hint="eastAsia" w:ascii="宋体" w:hAnsi="宋体"/>
                <w:color w:val="auto"/>
                <w:szCs w:val="21"/>
              </w:rPr>
            </w:pPr>
          </w:p>
        </w:tc>
      </w:tr>
      <w:tr w14:paraId="41F14F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4" w:type="dxa"/>
            <w:noWrap w:val="0"/>
            <w:vAlign w:val="center"/>
          </w:tcPr>
          <w:p w14:paraId="58982740">
            <w:pPr>
              <w:adjustRightInd w:val="0"/>
              <w:snapToGrid w:val="0"/>
              <w:spacing w:line="360" w:lineRule="auto"/>
              <w:jc w:val="center"/>
              <w:rPr>
                <w:rFonts w:hint="eastAsia" w:ascii="宋体" w:hAnsi="宋体"/>
                <w:color w:val="auto"/>
                <w:szCs w:val="21"/>
              </w:rPr>
            </w:pPr>
          </w:p>
        </w:tc>
        <w:tc>
          <w:tcPr>
            <w:tcW w:w="1542" w:type="dxa"/>
            <w:noWrap w:val="0"/>
            <w:vAlign w:val="center"/>
          </w:tcPr>
          <w:p w14:paraId="056B6011">
            <w:pPr>
              <w:adjustRightInd w:val="0"/>
              <w:snapToGrid w:val="0"/>
              <w:spacing w:line="360" w:lineRule="auto"/>
              <w:jc w:val="center"/>
              <w:rPr>
                <w:rFonts w:hint="eastAsia" w:ascii="宋体" w:hAnsi="宋体"/>
                <w:color w:val="auto"/>
                <w:szCs w:val="21"/>
              </w:rPr>
            </w:pPr>
            <w:r>
              <w:rPr>
                <w:rFonts w:hint="eastAsia" w:ascii="宋体" w:hAnsi="宋体"/>
                <w:color w:val="auto"/>
                <w:szCs w:val="21"/>
              </w:rPr>
              <w:t>合计</w:t>
            </w:r>
          </w:p>
        </w:tc>
        <w:tc>
          <w:tcPr>
            <w:tcW w:w="975" w:type="dxa"/>
            <w:noWrap w:val="0"/>
            <w:vAlign w:val="top"/>
          </w:tcPr>
          <w:p w14:paraId="1BEE3A50">
            <w:pPr>
              <w:adjustRightInd w:val="0"/>
              <w:snapToGrid w:val="0"/>
              <w:spacing w:line="360" w:lineRule="auto"/>
              <w:jc w:val="center"/>
              <w:rPr>
                <w:rFonts w:hint="eastAsia" w:ascii="宋体" w:hAnsi="宋体"/>
                <w:color w:val="auto"/>
                <w:szCs w:val="21"/>
              </w:rPr>
            </w:pPr>
          </w:p>
        </w:tc>
        <w:tc>
          <w:tcPr>
            <w:tcW w:w="1368" w:type="dxa"/>
            <w:noWrap w:val="0"/>
            <w:vAlign w:val="top"/>
          </w:tcPr>
          <w:p w14:paraId="46AD0257">
            <w:pPr>
              <w:adjustRightInd w:val="0"/>
              <w:snapToGrid w:val="0"/>
              <w:spacing w:line="360" w:lineRule="auto"/>
              <w:jc w:val="center"/>
              <w:rPr>
                <w:rFonts w:hint="eastAsia" w:ascii="宋体" w:hAnsi="宋体"/>
                <w:color w:val="auto"/>
                <w:szCs w:val="21"/>
              </w:rPr>
            </w:pPr>
          </w:p>
        </w:tc>
        <w:tc>
          <w:tcPr>
            <w:tcW w:w="746" w:type="dxa"/>
            <w:noWrap w:val="0"/>
            <w:vAlign w:val="center"/>
          </w:tcPr>
          <w:p w14:paraId="0F88563D">
            <w:pPr>
              <w:adjustRightInd w:val="0"/>
              <w:snapToGrid w:val="0"/>
              <w:spacing w:line="360" w:lineRule="auto"/>
              <w:jc w:val="center"/>
              <w:rPr>
                <w:rFonts w:hint="eastAsia" w:ascii="宋体" w:hAnsi="宋体"/>
                <w:color w:val="auto"/>
                <w:szCs w:val="21"/>
              </w:rPr>
            </w:pPr>
          </w:p>
        </w:tc>
        <w:tc>
          <w:tcPr>
            <w:tcW w:w="935" w:type="dxa"/>
            <w:noWrap w:val="0"/>
            <w:vAlign w:val="center"/>
          </w:tcPr>
          <w:p w14:paraId="63E8D869">
            <w:pPr>
              <w:adjustRightInd w:val="0"/>
              <w:snapToGrid w:val="0"/>
              <w:spacing w:line="360" w:lineRule="auto"/>
              <w:jc w:val="center"/>
              <w:rPr>
                <w:rFonts w:hint="eastAsia" w:ascii="宋体" w:hAnsi="宋体"/>
                <w:color w:val="auto"/>
                <w:szCs w:val="21"/>
              </w:rPr>
            </w:pPr>
          </w:p>
        </w:tc>
        <w:tc>
          <w:tcPr>
            <w:tcW w:w="1388" w:type="dxa"/>
            <w:noWrap w:val="0"/>
            <w:vAlign w:val="top"/>
          </w:tcPr>
          <w:p w14:paraId="7FA3C822">
            <w:pPr>
              <w:adjustRightInd w:val="0"/>
              <w:snapToGrid w:val="0"/>
              <w:spacing w:line="360" w:lineRule="auto"/>
              <w:jc w:val="center"/>
              <w:rPr>
                <w:rFonts w:hint="eastAsia" w:ascii="宋体" w:hAnsi="宋体"/>
                <w:color w:val="auto"/>
                <w:szCs w:val="21"/>
              </w:rPr>
            </w:pPr>
          </w:p>
        </w:tc>
        <w:tc>
          <w:tcPr>
            <w:tcW w:w="1269" w:type="dxa"/>
            <w:noWrap w:val="0"/>
            <w:vAlign w:val="center"/>
          </w:tcPr>
          <w:p w14:paraId="71F57B30">
            <w:pPr>
              <w:adjustRightInd w:val="0"/>
              <w:snapToGrid w:val="0"/>
              <w:spacing w:line="360" w:lineRule="auto"/>
              <w:jc w:val="center"/>
              <w:rPr>
                <w:rFonts w:hint="eastAsia" w:ascii="宋体" w:hAnsi="宋体"/>
                <w:color w:val="auto"/>
                <w:szCs w:val="21"/>
              </w:rPr>
            </w:pPr>
          </w:p>
        </w:tc>
      </w:tr>
    </w:tbl>
    <w:p w14:paraId="21513DD8">
      <w:pPr>
        <w:adjustRightInd w:val="0"/>
        <w:snapToGrid w:val="0"/>
        <w:spacing w:line="360" w:lineRule="auto"/>
        <w:rPr>
          <w:rFonts w:hint="eastAsia" w:ascii="宋体" w:hAnsi="宋体"/>
          <w:color w:val="auto"/>
          <w:szCs w:val="21"/>
        </w:rPr>
      </w:pPr>
    </w:p>
    <w:p w14:paraId="5F82FC40">
      <w:pPr>
        <w:adjustRightInd w:val="0"/>
        <w:snapToGrid w:val="0"/>
        <w:spacing w:line="360" w:lineRule="auto"/>
        <w:rPr>
          <w:rFonts w:hint="eastAsia" w:ascii="宋体" w:hAnsi="宋体"/>
          <w:color w:val="auto"/>
          <w:szCs w:val="21"/>
        </w:rPr>
      </w:pPr>
    </w:p>
    <w:p w14:paraId="54CE9659">
      <w:pPr>
        <w:adjustRightInd w:val="0"/>
        <w:snapToGrid w:val="0"/>
        <w:spacing w:line="360" w:lineRule="auto"/>
        <w:rPr>
          <w:rFonts w:hint="eastAsia" w:ascii="宋体" w:hAnsi="宋体" w:eastAsia="宋体"/>
          <w:b/>
          <w:bCs/>
          <w:color w:val="auto"/>
          <w:szCs w:val="21"/>
          <w:lang w:val="en-US" w:eastAsia="zh-CN"/>
        </w:rPr>
      </w:pPr>
      <w:r>
        <w:rPr>
          <w:rFonts w:hint="eastAsia" w:ascii="宋体" w:hAnsi="宋体"/>
          <w:color w:val="auto"/>
          <w:szCs w:val="21"/>
        </w:rPr>
        <w:t>注：</w:t>
      </w:r>
      <w:r>
        <w:rPr>
          <w:rFonts w:hint="eastAsia" w:ascii="宋体" w:hAnsi="宋体"/>
          <w:b/>
          <w:bCs/>
          <w:color w:val="auto"/>
          <w:szCs w:val="21"/>
          <w:lang w:val="en-US" w:eastAsia="zh-CN"/>
        </w:rPr>
        <w:t>1、此表仅为参考，投标人根据招标人发布的控制价格式进行报价（如有）。</w:t>
      </w:r>
    </w:p>
    <w:p w14:paraId="6D0E0F5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eastAsia="宋体"/>
          <w:b/>
          <w:color w:val="auto"/>
          <w:szCs w:val="21"/>
        </w:rPr>
        <w:t>本表应对应</w:t>
      </w:r>
      <w:r>
        <w:rPr>
          <w:rFonts w:hint="eastAsia" w:ascii="宋体" w:hAnsi="宋体"/>
          <w:color w:val="auto"/>
          <w:szCs w:val="21"/>
        </w:rPr>
        <w:t>“</w:t>
      </w:r>
      <w:r>
        <w:rPr>
          <w:rFonts w:hint="eastAsia" w:ascii="宋体" w:hAnsi="宋体" w:eastAsia="宋体"/>
          <w:b/>
          <w:color w:val="auto"/>
          <w:szCs w:val="21"/>
        </w:rPr>
        <w:t>开标一览表</w:t>
      </w:r>
      <w:r>
        <w:rPr>
          <w:rFonts w:hint="eastAsia" w:ascii="宋体" w:hAnsi="宋体"/>
          <w:color w:val="auto"/>
          <w:szCs w:val="21"/>
        </w:rPr>
        <w:t>”</w:t>
      </w:r>
      <w:r>
        <w:rPr>
          <w:rFonts w:hint="eastAsia" w:ascii="宋体" w:hAnsi="宋体" w:eastAsia="宋体"/>
          <w:b/>
          <w:color w:val="auto"/>
          <w:szCs w:val="21"/>
        </w:rPr>
        <w:t>，按包填写</w:t>
      </w:r>
      <w:r>
        <w:rPr>
          <w:rFonts w:hint="eastAsia" w:ascii="宋体" w:hAnsi="宋体" w:eastAsia="宋体"/>
          <w:color w:val="auto"/>
          <w:szCs w:val="21"/>
        </w:rPr>
        <w:t>。</w:t>
      </w:r>
      <w:r>
        <w:rPr>
          <w:rFonts w:hint="eastAsia" w:ascii="宋体" w:hAnsi="宋体"/>
          <w:color w:val="auto"/>
          <w:szCs w:val="21"/>
        </w:rPr>
        <w:t>投标人如果不提供分项报价明细表，其</w:t>
      </w:r>
      <w:r>
        <w:rPr>
          <w:rFonts w:hint="eastAsia" w:ascii="宋体" w:hAnsi="宋体"/>
          <w:b/>
          <w:color w:val="auto"/>
          <w:szCs w:val="21"/>
        </w:rPr>
        <w:t>投标无效</w:t>
      </w:r>
      <w:r>
        <w:rPr>
          <w:rFonts w:hint="eastAsia" w:ascii="宋体" w:hAnsi="宋体"/>
          <w:color w:val="auto"/>
          <w:szCs w:val="21"/>
        </w:rPr>
        <w:t>。</w:t>
      </w:r>
    </w:p>
    <w:p w14:paraId="1040704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不得填写“免费”或“赠与”，也不得进行“零”报价，否则</w:t>
      </w:r>
      <w:r>
        <w:rPr>
          <w:rFonts w:hint="eastAsia" w:ascii="宋体" w:hAnsi="宋体"/>
          <w:b/>
          <w:color w:val="auto"/>
          <w:szCs w:val="21"/>
        </w:rPr>
        <w:t>投标无效</w:t>
      </w:r>
      <w:r>
        <w:rPr>
          <w:rFonts w:hint="eastAsia" w:ascii="宋体" w:hAnsi="宋体"/>
          <w:color w:val="auto"/>
          <w:szCs w:val="21"/>
        </w:rPr>
        <w:t>。</w:t>
      </w:r>
    </w:p>
    <w:p w14:paraId="798A0919">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如果开标一览表内容与本表内容不一致的，以开标一览表内容为准。</w:t>
      </w:r>
    </w:p>
    <w:p w14:paraId="1ABA340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eastAsia="宋体"/>
          <w:bCs/>
          <w:color w:val="auto"/>
          <w:szCs w:val="21"/>
        </w:rPr>
        <w:t>投标人在投标截止时间前修改“开标一览表”中的投标报价的，应按第二章第13.7款规定修改本表相应内容。否则，</w:t>
      </w:r>
      <w:r>
        <w:rPr>
          <w:rFonts w:hint="eastAsia" w:ascii="宋体" w:hAnsi="宋体"/>
          <w:color w:val="auto"/>
          <w:szCs w:val="21"/>
        </w:rPr>
        <w:t>本表相应内容按投标报价修改的相同比例进行调整。</w:t>
      </w:r>
    </w:p>
    <w:p w14:paraId="5256D74F">
      <w:pPr>
        <w:adjustRightInd w:val="0"/>
        <w:snapToGrid w:val="0"/>
        <w:spacing w:line="360" w:lineRule="auto"/>
        <w:rPr>
          <w:rFonts w:ascii="宋体" w:hAnsi="宋体"/>
          <w:color w:val="auto"/>
          <w:szCs w:val="21"/>
        </w:rPr>
      </w:pPr>
    </w:p>
    <w:p w14:paraId="48DAA65B">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37F7C7EC">
      <w:pPr>
        <w:adjustRightInd w:val="0"/>
        <w:snapToGrid w:val="0"/>
        <w:spacing w:line="360" w:lineRule="auto"/>
        <w:rPr>
          <w:rFonts w:ascii="宋体" w:hAnsi="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51AB16A4">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7D30268">
      <w:pPr>
        <w:adjustRightInd w:val="0"/>
        <w:snapToGrid w:val="0"/>
        <w:spacing w:line="360" w:lineRule="auto"/>
        <w:jc w:val="both"/>
        <w:rPr>
          <w:rFonts w:ascii="宋体" w:hAnsi="宋体"/>
          <w:color w:val="auto"/>
          <w:szCs w:val="21"/>
        </w:rPr>
        <w:sectPr>
          <w:headerReference r:id="rId8" w:type="first"/>
          <w:footerReference r:id="rId11" w:type="first"/>
          <w:headerReference r:id="rId6" w:type="default"/>
          <w:footerReference r:id="rId9" w:type="default"/>
          <w:headerReference r:id="rId7" w:type="even"/>
          <w:footerReference r:id="rId10" w:type="even"/>
          <w:pgSz w:w="11906" w:h="16838"/>
          <w:pgMar w:top="1474" w:right="1474" w:bottom="1474" w:left="1588" w:header="851" w:footer="992" w:gutter="0"/>
          <w:pgNumType w:fmt="decimal"/>
          <w:cols w:space="720" w:num="1"/>
          <w:docGrid w:type="lines" w:linePitch="312" w:charSpace="0"/>
        </w:sectPr>
      </w:pPr>
    </w:p>
    <w:p w14:paraId="531E8732">
      <w:pPr>
        <w:pStyle w:val="6"/>
        <w:adjustRightInd w:val="0"/>
        <w:snapToGrid w:val="0"/>
        <w:spacing w:before="0" w:after="0" w:line="360" w:lineRule="auto"/>
        <w:jc w:val="center"/>
        <w:rPr>
          <w:rFonts w:ascii="黑体" w:hAnsi="宋体" w:eastAsia="黑体"/>
          <w:color w:val="auto"/>
          <w:sz w:val="28"/>
          <w:szCs w:val="28"/>
        </w:rPr>
      </w:pPr>
      <w:bookmarkStart w:id="91" w:name="_Toc30674"/>
      <w:r>
        <w:rPr>
          <w:rFonts w:hint="eastAsia" w:ascii="黑体" w:hAnsi="宋体" w:eastAsia="黑体"/>
          <w:color w:val="auto"/>
          <w:sz w:val="28"/>
          <w:szCs w:val="28"/>
          <w:lang w:eastAsia="zh-CN"/>
        </w:rPr>
        <w:t>六</w:t>
      </w:r>
      <w:r>
        <w:rPr>
          <w:rFonts w:hint="eastAsia" w:ascii="黑体" w:hAnsi="宋体" w:eastAsia="黑体"/>
          <w:color w:val="auto"/>
          <w:sz w:val="28"/>
          <w:szCs w:val="28"/>
        </w:rPr>
        <w:t>、采购需求响应</w:t>
      </w:r>
      <w:bookmarkEnd w:id="91"/>
    </w:p>
    <w:p w14:paraId="5F0B6CD7">
      <w:pPr>
        <w:adjustRightInd w:val="0"/>
        <w:snapToGrid w:val="0"/>
        <w:spacing w:line="360" w:lineRule="auto"/>
        <w:rPr>
          <w:rFonts w:ascii="宋体" w:hAnsi="宋体" w:eastAsia="宋体"/>
          <w:b/>
          <w:color w:val="auto"/>
          <w:szCs w:val="21"/>
        </w:rPr>
      </w:pPr>
    </w:p>
    <w:p w14:paraId="12917FCF">
      <w:pPr>
        <w:adjustRightInd w:val="0"/>
        <w:snapToGrid w:val="0"/>
        <w:spacing w:line="360" w:lineRule="auto"/>
        <w:rPr>
          <w:b/>
          <w:color w:val="auto"/>
        </w:rPr>
      </w:pPr>
      <w:r>
        <w:rPr>
          <w:rFonts w:hint="eastAsia" w:ascii="宋体" w:hAnsi="宋体" w:eastAsia="宋体"/>
          <w:b/>
          <w:color w:val="auto"/>
          <w:szCs w:val="21"/>
        </w:rPr>
        <w:t>编制说明</w:t>
      </w:r>
      <w:r>
        <w:rPr>
          <w:rFonts w:hint="eastAsia" w:ascii="宋体" w:hAnsi="宋体" w:eastAsia="宋体"/>
          <w:bCs/>
          <w:color w:val="auto"/>
          <w:szCs w:val="21"/>
        </w:rPr>
        <w:t>：</w:t>
      </w:r>
      <w:r>
        <w:rPr>
          <w:rFonts w:hint="eastAsia"/>
          <w:b/>
          <w:color w:val="auto"/>
        </w:rPr>
        <w:t>投标人应按招标文件</w:t>
      </w:r>
      <w:r>
        <w:rPr>
          <w:rFonts w:hint="eastAsia"/>
          <w:b/>
          <w:color w:val="auto"/>
          <w:lang w:eastAsia="zh-CN"/>
        </w:rPr>
        <w:t>评审办法并结合</w:t>
      </w:r>
      <w:r>
        <w:rPr>
          <w:rFonts w:hint="eastAsia"/>
          <w:b/>
          <w:color w:val="auto"/>
        </w:rPr>
        <w:t>第五章采购需求自行编写采购需求响应文件（格式自拟）。</w:t>
      </w:r>
    </w:p>
    <w:p w14:paraId="02ABC66B">
      <w:pPr>
        <w:pStyle w:val="16"/>
        <w:adjustRightInd w:val="0"/>
        <w:snapToGrid w:val="0"/>
        <w:spacing w:line="360" w:lineRule="auto"/>
        <w:ind w:left="-88" w:leftChars="-42"/>
        <w:rPr>
          <w:rFonts w:ascii="宋体" w:hAnsi="宋体"/>
          <w:bCs/>
          <w:color w:val="auto"/>
          <w:sz w:val="21"/>
          <w:szCs w:val="21"/>
        </w:rPr>
      </w:pPr>
    </w:p>
    <w:p w14:paraId="30B1A688">
      <w:pPr>
        <w:rPr>
          <w:color w:val="auto"/>
        </w:rPr>
      </w:pPr>
    </w:p>
    <w:p w14:paraId="12AD48ED">
      <w:pPr>
        <w:rPr>
          <w:color w:val="auto"/>
        </w:rPr>
      </w:pPr>
    </w:p>
    <w:p w14:paraId="60DC5188">
      <w:pPr>
        <w:pStyle w:val="16"/>
        <w:tabs>
          <w:tab w:val="left" w:pos="6208"/>
        </w:tabs>
        <w:adjustRightInd w:val="0"/>
        <w:snapToGrid w:val="0"/>
        <w:spacing w:line="360" w:lineRule="auto"/>
        <w:ind w:left="-88" w:leftChars="-42"/>
        <w:rPr>
          <w:rFonts w:ascii="宋体" w:hAnsi="宋体"/>
          <w:bCs/>
          <w:color w:val="auto"/>
          <w:sz w:val="21"/>
          <w:szCs w:val="21"/>
        </w:rPr>
      </w:pPr>
    </w:p>
    <w:p w14:paraId="182EC009">
      <w:pPr>
        <w:adjustRightInd w:val="0"/>
        <w:snapToGrid w:val="0"/>
        <w:spacing w:line="360" w:lineRule="auto"/>
        <w:rPr>
          <w:rFonts w:ascii="宋体" w:hAnsi="宋体"/>
          <w:color w:val="auto"/>
          <w:szCs w:val="21"/>
        </w:rPr>
      </w:pPr>
    </w:p>
    <w:p w14:paraId="4532E4D2">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28F696EE">
      <w:pPr>
        <w:adjustRightInd w:val="0"/>
        <w:snapToGrid w:val="0"/>
        <w:spacing w:line="360" w:lineRule="auto"/>
        <w:rPr>
          <w:rFonts w:ascii="宋体" w:hAnsi="宋体"/>
          <w:color w:val="auto"/>
          <w:szCs w:val="21"/>
          <w:u w:val="single"/>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7547436E">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47B4585">
      <w:pPr>
        <w:rPr>
          <w:color w:val="auto"/>
        </w:rPr>
      </w:pPr>
    </w:p>
    <w:p w14:paraId="6463B8F4">
      <w:pPr>
        <w:rPr>
          <w:color w:val="auto"/>
        </w:rPr>
      </w:pPr>
    </w:p>
    <w:p w14:paraId="09ADFBCB">
      <w:pPr>
        <w:adjustRightInd w:val="0"/>
        <w:snapToGrid w:val="0"/>
        <w:spacing w:line="360" w:lineRule="auto"/>
        <w:rPr>
          <w:rFonts w:ascii="宋体" w:hAnsi="宋体"/>
          <w:color w:val="auto"/>
          <w:szCs w:val="21"/>
        </w:rPr>
      </w:pPr>
    </w:p>
    <w:p w14:paraId="5FB1F696">
      <w:pPr>
        <w:adjustRightInd w:val="0"/>
        <w:snapToGrid w:val="0"/>
        <w:spacing w:line="360" w:lineRule="auto"/>
        <w:rPr>
          <w:rFonts w:ascii="宋体" w:hAnsi="宋体"/>
          <w:color w:val="auto"/>
          <w:szCs w:val="21"/>
        </w:rPr>
      </w:pPr>
    </w:p>
    <w:p w14:paraId="5561F0C9">
      <w:pPr>
        <w:adjustRightInd w:val="0"/>
        <w:snapToGrid w:val="0"/>
        <w:spacing w:line="360" w:lineRule="auto"/>
        <w:rPr>
          <w:rFonts w:ascii="黑体" w:hAnsi="宋体" w:eastAsia="黑体"/>
          <w:color w:val="auto"/>
          <w:sz w:val="28"/>
          <w:szCs w:val="28"/>
        </w:rPr>
        <w:sectPr>
          <w:headerReference r:id="rId14" w:type="first"/>
          <w:headerReference r:id="rId12" w:type="default"/>
          <w:footerReference r:id="rId15" w:type="default"/>
          <w:headerReference r:id="rId13" w:type="even"/>
          <w:pgSz w:w="11906" w:h="16838"/>
          <w:pgMar w:top="1474" w:right="1474" w:bottom="1474" w:left="1588" w:header="851" w:footer="992" w:gutter="0"/>
          <w:pgNumType w:fmt="decimal"/>
          <w:cols w:space="720" w:num="1"/>
          <w:docGrid w:type="lines" w:linePitch="312" w:charSpace="0"/>
        </w:sectPr>
      </w:pPr>
    </w:p>
    <w:p w14:paraId="41DF4FC3">
      <w:pPr>
        <w:pStyle w:val="6"/>
        <w:adjustRightInd w:val="0"/>
        <w:snapToGrid w:val="0"/>
        <w:spacing w:before="156" w:beforeLines="50" w:after="0" w:line="360" w:lineRule="auto"/>
        <w:jc w:val="center"/>
        <w:rPr>
          <w:rFonts w:ascii="黑体" w:hAnsi="宋体" w:eastAsia="黑体"/>
          <w:color w:val="auto"/>
          <w:sz w:val="28"/>
          <w:szCs w:val="28"/>
        </w:rPr>
      </w:pPr>
      <w:bookmarkStart w:id="92" w:name="_Toc4933"/>
      <w:r>
        <w:rPr>
          <w:rFonts w:hint="eastAsia" w:ascii="黑体" w:hAnsi="宋体" w:eastAsia="黑体"/>
          <w:color w:val="auto"/>
          <w:sz w:val="28"/>
          <w:szCs w:val="28"/>
          <w:lang w:eastAsia="zh-CN"/>
        </w:rPr>
        <w:t>七</w:t>
      </w:r>
      <w:r>
        <w:rPr>
          <w:rFonts w:hint="eastAsia" w:ascii="黑体" w:hAnsi="宋体" w:eastAsia="黑体"/>
          <w:color w:val="auto"/>
          <w:sz w:val="28"/>
          <w:szCs w:val="28"/>
        </w:rPr>
        <w:t>、采购需求偏离表</w:t>
      </w:r>
      <w:bookmarkEnd w:id="92"/>
    </w:p>
    <w:p w14:paraId="64BDF262">
      <w:pPr>
        <w:adjustRightInd w:val="0"/>
        <w:snapToGrid w:val="0"/>
        <w:spacing w:before="156" w:beforeLines="50" w:line="360" w:lineRule="auto"/>
        <w:rPr>
          <w:rFonts w:ascii="宋体" w:hAnsi="宋体" w:eastAsia="宋体"/>
          <w:color w:val="auto"/>
          <w:szCs w:val="21"/>
          <w:u w:val="single"/>
        </w:rPr>
      </w:pPr>
      <w:r>
        <w:rPr>
          <w:rFonts w:hint="eastAsia" w:ascii="宋体" w:hAnsi="宋体" w:eastAsia="宋体"/>
          <w:color w:val="auto"/>
          <w:szCs w:val="21"/>
        </w:rPr>
        <w:t>项目名称：</w:t>
      </w:r>
      <w:r>
        <w:rPr>
          <w:rFonts w:hint="eastAsia" w:ascii="宋体" w:hAnsi="宋体" w:eastAsia="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eastAsia="宋体"/>
          <w:color w:val="auto"/>
          <w:szCs w:val="21"/>
          <w:u w:val="single"/>
        </w:rPr>
        <w:t xml:space="preserve">       </w:t>
      </w:r>
    </w:p>
    <w:p w14:paraId="68F4AF84">
      <w:pPr>
        <w:adjustRightInd w:val="0"/>
        <w:snapToGrid w:val="0"/>
        <w:spacing w:before="156" w:beforeLines="50" w:line="360" w:lineRule="auto"/>
        <w:rPr>
          <w:rFonts w:ascii="宋体" w:hAnsi="宋体" w:eastAsia="宋体"/>
          <w:color w:val="auto"/>
          <w:szCs w:val="21"/>
          <w:u w:val="single"/>
        </w:rPr>
      </w:pPr>
      <w:r>
        <w:rPr>
          <w:rFonts w:hint="eastAsia" w:ascii="宋体" w:hAnsi="宋体" w:eastAsia="宋体"/>
          <w:color w:val="auto"/>
          <w:szCs w:val="21"/>
        </w:rPr>
        <w:t>包   号：</w:t>
      </w:r>
      <w:r>
        <w:rPr>
          <w:rFonts w:hint="eastAsia" w:ascii="宋体" w:hAnsi="宋体" w:eastAsia="宋体"/>
          <w:color w:val="auto"/>
          <w:szCs w:val="21"/>
          <w:u w:val="single"/>
        </w:rPr>
        <w:t xml:space="preserve">                        </w:t>
      </w:r>
      <w:r>
        <w:rPr>
          <w:rFonts w:hint="eastAsia" w:ascii="宋体" w:hAnsi="宋体" w:eastAsia="宋体"/>
          <w:color w:val="auto"/>
          <w:szCs w:val="21"/>
        </w:rPr>
        <w:t xml:space="preserve">           包名称：</w:t>
      </w:r>
      <w:r>
        <w:rPr>
          <w:rFonts w:hint="eastAsia" w:ascii="宋体" w:hAnsi="宋体" w:eastAsia="宋体"/>
          <w:color w:val="auto"/>
          <w:szCs w:val="21"/>
          <w:u w:val="single"/>
        </w:rPr>
        <w:t xml:space="preserve">                    </w:t>
      </w:r>
    </w:p>
    <w:tbl>
      <w:tblPr>
        <w:tblStyle w:val="25"/>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0CCB0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noWrap w:val="0"/>
            <w:vAlign w:val="center"/>
          </w:tcPr>
          <w:p w14:paraId="4EDF9858">
            <w:pPr>
              <w:adjustRightInd w:val="0"/>
              <w:snapToGrid w:val="0"/>
              <w:spacing w:before="50" w:line="360" w:lineRule="auto"/>
              <w:ind w:left="-88" w:leftChars="-42"/>
              <w:jc w:val="center"/>
              <w:rPr>
                <w:rFonts w:ascii="宋体" w:hAnsi="宋体" w:eastAsia="宋体"/>
                <w:color w:val="auto"/>
                <w:szCs w:val="21"/>
              </w:rPr>
            </w:pPr>
            <w:r>
              <w:rPr>
                <w:rFonts w:hint="eastAsia" w:ascii="宋体" w:hAnsi="宋体" w:eastAsia="宋体"/>
                <w:bCs/>
                <w:color w:val="auto"/>
                <w:szCs w:val="21"/>
              </w:rPr>
              <w:t>序</w:t>
            </w:r>
            <w:r>
              <w:rPr>
                <w:rFonts w:hint="eastAsia" w:ascii="宋体" w:hAnsi="宋体" w:eastAsia="宋体"/>
                <w:color w:val="auto"/>
                <w:szCs w:val="21"/>
              </w:rPr>
              <w:t>号</w:t>
            </w:r>
          </w:p>
        </w:tc>
        <w:tc>
          <w:tcPr>
            <w:tcW w:w="2410" w:type="dxa"/>
            <w:noWrap w:val="0"/>
            <w:vAlign w:val="center"/>
          </w:tcPr>
          <w:p w14:paraId="7D4B473E">
            <w:pPr>
              <w:adjustRightInd w:val="0"/>
              <w:snapToGrid w:val="0"/>
              <w:spacing w:before="50" w:line="360" w:lineRule="auto"/>
              <w:ind w:left="-88" w:leftChars="-42"/>
              <w:jc w:val="center"/>
              <w:rPr>
                <w:rFonts w:ascii="宋体" w:hAnsi="宋体" w:eastAsia="宋体"/>
                <w:color w:val="auto"/>
                <w:szCs w:val="21"/>
              </w:rPr>
            </w:pPr>
            <w:r>
              <w:rPr>
                <w:rFonts w:hint="eastAsia" w:ascii="宋体" w:hAnsi="宋体" w:eastAsia="宋体"/>
                <w:color w:val="auto"/>
                <w:szCs w:val="21"/>
              </w:rPr>
              <w:t>招标文件章节</w:t>
            </w:r>
            <w:r>
              <w:rPr>
                <w:rFonts w:hint="eastAsia" w:ascii="宋体" w:hAnsi="宋体" w:eastAsia="宋体"/>
                <w:bCs/>
                <w:color w:val="auto"/>
                <w:szCs w:val="21"/>
              </w:rPr>
              <w:t>条</w:t>
            </w:r>
            <w:r>
              <w:rPr>
                <w:rFonts w:hint="eastAsia" w:ascii="宋体" w:hAnsi="宋体" w:eastAsia="宋体"/>
                <w:color w:val="auto"/>
                <w:szCs w:val="21"/>
              </w:rPr>
              <w:t>款号</w:t>
            </w:r>
          </w:p>
        </w:tc>
        <w:tc>
          <w:tcPr>
            <w:tcW w:w="1985" w:type="dxa"/>
            <w:tcBorders>
              <w:right w:val="single" w:color="auto" w:sz="4" w:space="0"/>
            </w:tcBorders>
            <w:noWrap w:val="0"/>
            <w:vAlign w:val="top"/>
          </w:tcPr>
          <w:p w14:paraId="3FD2F514">
            <w:pPr>
              <w:adjustRightInd w:val="0"/>
              <w:snapToGrid w:val="0"/>
              <w:spacing w:before="50" w:line="360" w:lineRule="auto"/>
              <w:jc w:val="center"/>
              <w:rPr>
                <w:color w:val="auto"/>
              </w:rPr>
            </w:pPr>
            <w:r>
              <w:rPr>
                <w:rFonts w:hint="eastAsia"/>
                <w:color w:val="auto"/>
              </w:rPr>
              <w:t>招标文件要求</w:t>
            </w:r>
          </w:p>
        </w:tc>
        <w:tc>
          <w:tcPr>
            <w:tcW w:w="2126" w:type="dxa"/>
            <w:tcBorders>
              <w:left w:val="single" w:color="auto" w:sz="4" w:space="0"/>
            </w:tcBorders>
            <w:noWrap w:val="0"/>
            <w:vAlign w:val="top"/>
          </w:tcPr>
          <w:p w14:paraId="7AD4ACEB">
            <w:pPr>
              <w:adjustRightInd w:val="0"/>
              <w:snapToGrid w:val="0"/>
              <w:spacing w:before="50" w:line="360" w:lineRule="auto"/>
              <w:jc w:val="center"/>
              <w:rPr>
                <w:color w:val="auto"/>
              </w:rPr>
            </w:pPr>
            <w:r>
              <w:rPr>
                <w:rFonts w:hint="eastAsia"/>
                <w:color w:val="auto"/>
              </w:rPr>
              <w:t>投标文件应答</w:t>
            </w:r>
          </w:p>
        </w:tc>
        <w:tc>
          <w:tcPr>
            <w:tcW w:w="1756" w:type="dxa"/>
            <w:noWrap w:val="0"/>
            <w:vAlign w:val="center"/>
          </w:tcPr>
          <w:p w14:paraId="1CB1B424">
            <w:pPr>
              <w:adjustRightInd w:val="0"/>
              <w:snapToGrid w:val="0"/>
              <w:spacing w:before="50" w:line="360" w:lineRule="auto"/>
              <w:ind w:left="-88" w:leftChars="-42"/>
              <w:jc w:val="center"/>
              <w:rPr>
                <w:rFonts w:ascii="宋体" w:hAnsi="宋体" w:eastAsia="宋体"/>
                <w:color w:val="auto"/>
                <w:szCs w:val="21"/>
              </w:rPr>
            </w:pPr>
            <w:r>
              <w:rPr>
                <w:rFonts w:hint="eastAsia" w:ascii="宋体" w:hAnsi="宋体" w:eastAsia="宋体"/>
                <w:color w:val="auto"/>
                <w:szCs w:val="21"/>
              </w:rPr>
              <w:t>偏离说明</w:t>
            </w:r>
          </w:p>
        </w:tc>
      </w:tr>
      <w:tr w14:paraId="15A72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422CAFF4">
            <w:pPr>
              <w:adjustRightInd w:val="0"/>
              <w:snapToGrid w:val="0"/>
              <w:spacing w:before="50" w:line="360" w:lineRule="auto"/>
              <w:ind w:left="-88" w:leftChars="-42"/>
              <w:jc w:val="center"/>
              <w:rPr>
                <w:rFonts w:ascii="宋体" w:hAnsi="宋体" w:eastAsia="宋体"/>
                <w:color w:val="auto"/>
                <w:szCs w:val="21"/>
              </w:rPr>
            </w:pPr>
          </w:p>
        </w:tc>
        <w:tc>
          <w:tcPr>
            <w:tcW w:w="2410" w:type="dxa"/>
            <w:noWrap w:val="0"/>
            <w:vAlign w:val="center"/>
          </w:tcPr>
          <w:p w14:paraId="52A2995F">
            <w:pPr>
              <w:adjustRightInd w:val="0"/>
              <w:snapToGrid w:val="0"/>
              <w:spacing w:before="50" w:line="360" w:lineRule="auto"/>
              <w:ind w:left="-88" w:leftChars="-42"/>
              <w:jc w:val="center"/>
              <w:rPr>
                <w:rFonts w:ascii="宋体" w:hAnsi="宋体" w:eastAsia="宋体"/>
                <w:color w:val="auto"/>
                <w:szCs w:val="21"/>
              </w:rPr>
            </w:pPr>
          </w:p>
        </w:tc>
        <w:tc>
          <w:tcPr>
            <w:tcW w:w="1985" w:type="dxa"/>
            <w:tcBorders>
              <w:right w:val="single" w:color="auto" w:sz="4" w:space="0"/>
            </w:tcBorders>
            <w:noWrap w:val="0"/>
            <w:vAlign w:val="center"/>
          </w:tcPr>
          <w:p w14:paraId="22B23AE6">
            <w:pPr>
              <w:adjustRightInd w:val="0"/>
              <w:snapToGrid w:val="0"/>
              <w:spacing w:before="50" w:line="360" w:lineRule="auto"/>
              <w:ind w:left="-88" w:leftChars="-42"/>
              <w:jc w:val="center"/>
              <w:rPr>
                <w:rFonts w:ascii="宋体" w:hAnsi="宋体" w:eastAsia="宋体"/>
                <w:color w:val="auto"/>
                <w:szCs w:val="21"/>
              </w:rPr>
            </w:pPr>
          </w:p>
        </w:tc>
        <w:tc>
          <w:tcPr>
            <w:tcW w:w="2126" w:type="dxa"/>
            <w:tcBorders>
              <w:left w:val="single" w:color="auto" w:sz="4" w:space="0"/>
            </w:tcBorders>
            <w:noWrap w:val="0"/>
            <w:vAlign w:val="center"/>
          </w:tcPr>
          <w:p w14:paraId="662BDD78">
            <w:pPr>
              <w:adjustRightInd w:val="0"/>
              <w:snapToGrid w:val="0"/>
              <w:spacing w:before="50" w:line="360" w:lineRule="auto"/>
              <w:ind w:left="-88" w:leftChars="-42"/>
              <w:jc w:val="center"/>
              <w:rPr>
                <w:rFonts w:ascii="宋体" w:hAnsi="宋体" w:eastAsia="宋体"/>
                <w:color w:val="auto"/>
                <w:szCs w:val="21"/>
              </w:rPr>
            </w:pPr>
          </w:p>
        </w:tc>
        <w:tc>
          <w:tcPr>
            <w:tcW w:w="1756" w:type="dxa"/>
            <w:noWrap w:val="0"/>
            <w:vAlign w:val="center"/>
          </w:tcPr>
          <w:p w14:paraId="6F17D725">
            <w:pPr>
              <w:adjustRightInd w:val="0"/>
              <w:snapToGrid w:val="0"/>
              <w:spacing w:before="50" w:line="360" w:lineRule="auto"/>
              <w:ind w:left="-88" w:leftChars="-42"/>
              <w:jc w:val="center"/>
              <w:rPr>
                <w:rFonts w:ascii="宋体" w:hAnsi="宋体" w:eastAsia="宋体"/>
                <w:color w:val="auto"/>
                <w:szCs w:val="21"/>
              </w:rPr>
            </w:pPr>
          </w:p>
        </w:tc>
      </w:tr>
      <w:tr w14:paraId="3009E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7E67736F">
            <w:pPr>
              <w:adjustRightInd w:val="0"/>
              <w:snapToGrid w:val="0"/>
              <w:spacing w:before="50" w:line="360" w:lineRule="auto"/>
              <w:ind w:left="-88" w:leftChars="-42"/>
              <w:jc w:val="center"/>
              <w:rPr>
                <w:rFonts w:ascii="宋体" w:hAnsi="宋体" w:eastAsia="宋体"/>
                <w:color w:val="auto"/>
                <w:szCs w:val="21"/>
              </w:rPr>
            </w:pPr>
          </w:p>
        </w:tc>
        <w:tc>
          <w:tcPr>
            <w:tcW w:w="2410" w:type="dxa"/>
            <w:noWrap w:val="0"/>
            <w:vAlign w:val="center"/>
          </w:tcPr>
          <w:p w14:paraId="117EA209">
            <w:pPr>
              <w:adjustRightInd w:val="0"/>
              <w:snapToGrid w:val="0"/>
              <w:spacing w:before="50" w:line="360" w:lineRule="auto"/>
              <w:ind w:left="-88" w:leftChars="-42"/>
              <w:jc w:val="center"/>
              <w:rPr>
                <w:rFonts w:ascii="宋体" w:hAnsi="宋体" w:eastAsia="宋体"/>
                <w:color w:val="auto"/>
                <w:szCs w:val="21"/>
              </w:rPr>
            </w:pPr>
          </w:p>
        </w:tc>
        <w:tc>
          <w:tcPr>
            <w:tcW w:w="1985" w:type="dxa"/>
            <w:tcBorders>
              <w:right w:val="single" w:color="auto" w:sz="4" w:space="0"/>
            </w:tcBorders>
            <w:noWrap w:val="0"/>
            <w:vAlign w:val="center"/>
          </w:tcPr>
          <w:p w14:paraId="341621E9">
            <w:pPr>
              <w:adjustRightInd w:val="0"/>
              <w:snapToGrid w:val="0"/>
              <w:spacing w:before="50" w:line="360" w:lineRule="auto"/>
              <w:ind w:left="-88" w:leftChars="-42"/>
              <w:jc w:val="center"/>
              <w:rPr>
                <w:rFonts w:ascii="宋体" w:hAnsi="宋体" w:eastAsia="宋体"/>
                <w:color w:val="auto"/>
                <w:szCs w:val="21"/>
              </w:rPr>
            </w:pPr>
          </w:p>
        </w:tc>
        <w:tc>
          <w:tcPr>
            <w:tcW w:w="2126" w:type="dxa"/>
            <w:tcBorders>
              <w:left w:val="single" w:color="auto" w:sz="4" w:space="0"/>
            </w:tcBorders>
            <w:noWrap w:val="0"/>
            <w:vAlign w:val="center"/>
          </w:tcPr>
          <w:p w14:paraId="2B9E6261">
            <w:pPr>
              <w:adjustRightInd w:val="0"/>
              <w:snapToGrid w:val="0"/>
              <w:spacing w:before="50" w:line="360" w:lineRule="auto"/>
              <w:ind w:left="-88" w:leftChars="-42"/>
              <w:jc w:val="center"/>
              <w:rPr>
                <w:rFonts w:ascii="宋体" w:hAnsi="宋体" w:eastAsia="宋体"/>
                <w:color w:val="auto"/>
                <w:szCs w:val="21"/>
              </w:rPr>
            </w:pPr>
          </w:p>
        </w:tc>
        <w:tc>
          <w:tcPr>
            <w:tcW w:w="1756" w:type="dxa"/>
            <w:noWrap w:val="0"/>
            <w:vAlign w:val="center"/>
          </w:tcPr>
          <w:p w14:paraId="140683EA">
            <w:pPr>
              <w:adjustRightInd w:val="0"/>
              <w:snapToGrid w:val="0"/>
              <w:spacing w:before="50" w:line="360" w:lineRule="auto"/>
              <w:ind w:left="-88" w:leftChars="-42"/>
              <w:jc w:val="center"/>
              <w:rPr>
                <w:rFonts w:ascii="宋体" w:hAnsi="宋体" w:eastAsia="宋体"/>
                <w:color w:val="auto"/>
                <w:szCs w:val="21"/>
              </w:rPr>
            </w:pPr>
          </w:p>
        </w:tc>
      </w:tr>
      <w:tr w14:paraId="114FA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0AE9396F">
            <w:pPr>
              <w:adjustRightInd w:val="0"/>
              <w:snapToGrid w:val="0"/>
              <w:spacing w:before="50" w:line="360" w:lineRule="auto"/>
              <w:ind w:left="-88" w:leftChars="-42"/>
              <w:jc w:val="center"/>
              <w:rPr>
                <w:rFonts w:ascii="宋体" w:hAnsi="宋体" w:eastAsia="宋体"/>
                <w:color w:val="auto"/>
                <w:szCs w:val="21"/>
              </w:rPr>
            </w:pPr>
          </w:p>
        </w:tc>
        <w:tc>
          <w:tcPr>
            <w:tcW w:w="2410" w:type="dxa"/>
            <w:noWrap w:val="0"/>
            <w:vAlign w:val="center"/>
          </w:tcPr>
          <w:p w14:paraId="414A4C29">
            <w:pPr>
              <w:adjustRightInd w:val="0"/>
              <w:snapToGrid w:val="0"/>
              <w:spacing w:before="50" w:line="360" w:lineRule="auto"/>
              <w:ind w:left="-88" w:leftChars="-42"/>
              <w:jc w:val="center"/>
              <w:rPr>
                <w:rFonts w:ascii="宋体" w:hAnsi="宋体" w:eastAsia="宋体"/>
                <w:color w:val="auto"/>
                <w:szCs w:val="21"/>
              </w:rPr>
            </w:pPr>
          </w:p>
        </w:tc>
        <w:tc>
          <w:tcPr>
            <w:tcW w:w="1985" w:type="dxa"/>
            <w:tcBorders>
              <w:right w:val="single" w:color="auto" w:sz="4" w:space="0"/>
            </w:tcBorders>
            <w:noWrap w:val="0"/>
            <w:vAlign w:val="center"/>
          </w:tcPr>
          <w:p w14:paraId="2830FA0C">
            <w:pPr>
              <w:adjustRightInd w:val="0"/>
              <w:snapToGrid w:val="0"/>
              <w:spacing w:before="50" w:line="360" w:lineRule="auto"/>
              <w:ind w:left="-88" w:leftChars="-42"/>
              <w:jc w:val="center"/>
              <w:rPr>
                <w:rFonts w:ascii="宋体" w:hAnsi="宋体" w:eastAsia="宋体"/>
                <w:color w:val="auto"/>
                <w:szCs w:val="21"/>
              </w:rPr>
            </w:pPr>
          </w:p>
        </w:tc>
        <w:tc>
          <w:tcPr>
            <w:tcW w:w="2126" w:type="dxa"/>
            <w:tcBorders>
              <w:left w:val="single" w:color="auto" w:sz="4" w:space="0"/>
            </w:tcBorders>
            <w:noWrap w:val="0"/>
            <w:vAlign w:val="center"/>
          </w:tcPr>
          <w:p w14:paraId="0E24A436">
            <w:pPr>
              <w:adjustRightInd w:val="0"/>
              <w:snapToGrid w:val="0"/>
              <w:spacing w:before="50" w:line="360" w:lineRule="auto"/>
              <w:ind w:left="-88" w:leftChars="-42"/>
              <w:jc w:val="center"/>
              <w:rPr>
                <w:rFonts w:ascii="宋体" w:hAnsi="宋体" w:eastAsia="宋体"/>
                <w:color w:val="auto"/>
                <w:szCs w:val="21"/>
              </w:rPr>
            </w:pPr>
          </w:p>
        </w:tc>
        <w:tc>
          <w:tcPr>
            <w:tcW w:w="1756" w:type="dxa"/>
            <w:noWrap w:val="0"/>
            <w:vAlign w:val="center"/>
          </w:tcPr>
          <w:p w14:paraId="739185B2">
            <w:pPr>
              <w:adjustRightInd w:val="0"/>
              <w:snapToGrid w:val="0"/>
              <w:spacing w:before="50" w:line="360" w:lineRule="auto"/>
              <w:ind w:left="-88" w:leftChars="-42"/>
              <w:jc w:val="center"/>
              <w:rPr>
                <w:rFonts w:ascii="宋体" w:hAnsi="宋体" w:eastAsia="宋体"/>
                <w:color w:val="auto"/>
                <w:szCs w:val="21"/>
              </w:rPr>
            </w:pPr>
          </w:p>
        </w:tc>
      </w:tr>
      <w:tr w14:paraId="1B082D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384D1794">
            <w:pPr>
              <w:adjustRightInd w:val="0"/>
              <w:snapToGrid w:val="0"/>
              <w:spacing w:before="50" w:line="360" w:lineRule="auto"/>
              <w:ind w:left="-88" w:leftChars="-42"/>
              <w:jc w:val="center"/>
              <w:rPr>
                <w:rFonts w:ascii="宋体" w:hAnsi="宋体" w:eastAsia="宋体"/>
                <w:color w:val="auto"/>
                <w:szCs w:val="21"/>
              </w:rPr>
            </w:pPr>
          </w:p>
        </w:tc>
        <w:tc>
          <w:tcPr>
            <w:tcW w:w="2410" w:type="dxa"/>
            <w:noWrap w:val="0"/>
            <w:vAlign w:val="center"/>
          </w:tcPr>
          <w:p w14:paraId="0B35776A">
            <w:pPr>
              <w:adjustRightInd w:val="0"/>
              <w:snapToGrid w:val="0"/>
              <w:spacing w:before="50" w:line="360" w:lineRule="auto"/>
              <w:ind w:left="-88" w:leftChars="-42"/>
              <w:jc w:val="center"/>
              <w:rPr>
                <w:rFonts w:ascii="宋体" w:hAnsi="宋体" w:eastAsia="宋体"/>
                <w:color w:val="auto"/>
                <w:szCs w:val="21"/>
              </w:rPr>
            </w:pPr>
          </w:p>
        </w:tc>
        <w:tc>
          <w:tcPr>
            <w:tcW w:w="1985" w:type="dxa"/>
            <w:tcBorders>
              <w:right w:val="single" w:color="auto" w:sz="4" w:space="0"/>
            </w:tcBorders>
            <w:noWrap w:val="0"/>
            <w:vAlign w:val="center"/>
          </w:tcPr>
          <w:p w14:paraId="27C9A60D">
            <w:pPr>
              <w:adjustRightInd w:val="0"/>
              <w:snapToGrid w:val="0"/>
              <w:spacing w:before="50" w:line="360" w:lineRule="auto"/>
              <w:ind w:left="-88" w:leftChars="-42"/>
              <w:jc w:val="center"/>
              <w:rPr>
                <w:rFonts w:ascii="宋体" w:hAnsi="宋体" w:eastAsia="宋体"/>
                <w:color w:val="auto"/>
                <w:szCs w:val="21"/>
              </w:rPr>
            </w:pPr>
          </w:p>
        </w:tc>
        <w:tc>
          <w:tcPr>
            <w:tcW w:w="2126" w:type="dxa"/>
            <w:tcBorders>
              <w:left w:val="single" w:color="auto" w:sz="4" w:space="0"/>
            </w:tcBorders>
            <w:noWrap w:val="0"/>
            <w:vAlign w:val="center"/>
          </w:tcPr>
          <w:p w14:paraId="59E7F36A">
            <w:pPr>
              <w:adjustRightInd w:val="0"/>
              <w:snapToGrid w:val="0"/>
              <w:spacing w:before="50" w:line="360" w:lineRule="auto"/>
              <w:ind w:left="-88" w:leftChars="-42"/>
              <w:jc w:val="center"/>
              <w:rPr>
                <w:rFonts w:ascii="宋体" w:hAnsi="宋体" w:eastAsia="宋体"/>
                <w:color w:val="auto"/>
                <w:szCs w:val="21"/>
              </w:rPr>
            </w:pPr>
          </w:p>
        </w:tc>
        <w:tc>
          <w:tcPr>
            <w:tcW w:w="1756" w:type="dxa"/>
            <w:noWrap w:val="0"/>
            <w:vAlign w:val="center"/>
          </w:tcPr>
          <w:p w14:paraId="06A4BCB8">
            <w:pPr>
              <w:adjustRightInd w:val="0"/>
              <w:snapToGrid w:val="0"/>
              <w:spacing w:before="50" w:line="360" w:lineRule="auto"/>
              <w:ind w:left="-88" w:leftChars="-42"/>
              <w:jc w:val="center"/>
              <w:rPr>
                <w:rFonts w:ascii="宋体" w:hAnsi="宋体" w:eastAsia="宋体"/>
                <w:color w:val="auto"/>
                <w:szCs w:val="21"/>
              </w:rPr>
            </w:pPr>
          </w:p>
        </w:tc>
      </w:tr>
      <w:tr w14:paraId="6476B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308D73CD">
            <w:pPr>
              <w:adjustRightInd w:val="0"/>
              <w:snapToGrid w:val="0"/>
              <w:spacing w:before="50" w:line="360" w:lineRule="auto"/>
              <w:ind w:left="-88" w:leftChars="-42"/>
              <w:jc w:val="center"/>
              <w:rPr>
                <w:rFonts w:ascii="宋体" w:hAnsi="宋体" w:eastAsia="宋体"/>
                <w:color w:val="auto"/>
                <w:szCs w:val="21"/>
              </w:rPr>
            </w:pPr>
          </w:p>
        </w:tc>
        <w:tc>
          <w:tcPr>
            <w:tcW w:w="2410" w:type="dxa"/>
            <w:noWrap w:val="0"/>
            <w:vAlign w:val="center"/>
          </w:tcPr>
          <w:p w14:paraId="05D2CBD1">
            <w:pPr>
              <w:adjustRightInd w:val="0"/>
              <w:snapToGrid w:val="0"/>
              <w:spacing w:before="50" w:line="360" w:lineRule="auto"/>
              <w:ind w:left="-88" w:leftChars="-42"/>
              <w:jc w:val="center"/>
              <w:rPr>
                <w:rFonts w:ascii="宋体" w:hAnsi="宋体" w:eastAsia="宋体"/>
                <w:color w:val="auto"/>
                <w:szCs w:val="21"/>
              </w:rPr>
            </w:pPr>
          </w:p>
        </w:tc>
        <w:tc>
          <w:tcPr>
            <w:tcW w:w="1985" w:type="dxa"/>
            <w:tcBorders>
              <w:right w:val="single" w:color="auto" w:sz="4" w:space="0"/>
            </w:tcBorders>
            <w:noWrap w:val="0"/>
            <w:vAlign w:val="center"/>
          </w:tcPr>
          <w:p w14:paraId="60FB39ED">
            <w:pPr>
              <w:adjustRightInd w:val="0"/>
              <w:snapToGrid w:val="0"/>
              <w:spacing w:before="50" w:line="360" w:lineRule="auto"/>
              <w:ind w:left="-88" w:leftChars="-42"/>
              <w:jc w:val="center"/>
              <w:rPr>
                <w:rFonts w:ascii="宋体" w:hAnsi="宋体" w:eastAsia="宋体"/>
                <w:color w:val="auto"/>
                <w:szCs w:val="21"/>
              </w:rPr>
            </w:pPr>
          </w:p>
        </w:tc>
        <w:tc>
          <w:tcPr>
            <w:tcW w:w="2126" w:type="dxa"/>
            <w:tcBorders>
              <w:left w:val="single" w:color="auto" w:sz="4" w:space="0"/>
            </w:tcBorders>
            <w:noWrap w:val="0"/>
            <w:vAlign w:val="center"/>
          </w:tcPr>
          <w:p w14:paraId="283194AF">
            <w:pPr>
              <w:adjustRightInd w:val="0"/>
              <w:snapToGrid w:val="0"/>
              <w:spacing w:before="50" w:line="360" w:lineRule="auto"/>
              <w:ind w:left="-88" w:leftChars="-42"/>
              <w:jc w:val="center"/>
              <w:rPr>
                <w:rFonts w:ascii="宋体" w:hAnsi="宋体" w:eastAsia="宋体"/>
                <w:color w:val="auto"/>
                <w:szCs w:val="21"/>
              </w:rPr>
            </w:pPr>
          </w:p>
        </w:tc>
        <w:tc>
          <w:tcPr>
            <w:tcW w:w="1756" w:type="dxa"/>
            <w:noWrap w:val="0"/>
            <w:vAlign w:val="center"/>
          </w:tcPr>
          <w:p w14:paraId="69601406">
            <w:pPr>
              <w:adjustRightInd w:val="0"/>
              <w:snapToGrid w:val="0"/>
              <w:spacing w:before="50" w:line="360" w:lineRule="auto"/>
              <w:ind w:left="-88" w:leftChars="-42"/>
              <w:jc w:val="center"/>
              <w:rPr>
                <w:rFonts w:ascii="宋体" w:hAnsi="宋体" w:eastAsia="宋体"/>
                <w:color w:val="auto"/>
                <w:szCs w:val="21"/>
              </w:rPr>
            </w:pPr>
          </w:p>
        </w:tc>
      </w:tr>
      <w:tr w14:paraId="47F4AB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noWrap w:val="0"/>
            <w:vAlign w:val="center"/>
          </w:tcPr>
          <w:p w14:paraId="279AA6D1">
            <w:pPr>
              <w:adjustRightInd w:val="0"/>
              <w:snapToGrid w:val="0"/>
              <w:spacing w:before="50" w:line="360" w:lineRule="auto"/>
              <w:ind w:left="-88" w:leftChars="-42"/>
              <w:jc w:val="center"/>
              <w:rPr>
                <w:rFonts w:ascii="宋体" w:hAnsi="宋体" w:eastAsia="宋体"/>
                <w:color w:val="auto"/>
                <w:szCs w:val="21"/>
              </w:rPr>
            </w:pPr>
          </w:p>
        </w:tc>
        <w:tc>
          <w:tcPr>
            <w:tcW w:w="2410" w:type="dxa"/>
            <w:noWrap w:val="0"/>
            <w:vAlign w:val="center"/>
          </w:tcPr>
          <w:p w14:paraId="79CEB8C6">
            <w:pPr>
              <w:adjustRightInd w:val="0"/>
              <w:snapToGrid w:val="0"/>
              <w:spacing w:before="50" w:line="360" w:lineRule="auto"/>
              <w:ind w:left="-88" w:leftChars="-42"/>
              <w:jc w:val="center"/>
              <w:rPr>
                <w:rFonts w:ascii="宋体" w:hAnsi="宋体" w:eastAsia="宋体"/>
                <w:color w:val="auto"/>
                <w:szCs w:val="21"/>
              </w:rPr>
            </w:pPr>
          </w:p>
        </w:tc>
        <w:tc>
          <w:tcPr>
            <w:tcW w:w="1985" w:type="dxa"/>
            <w:tcBorders>
              <w:right w:val="single" w:color="auto" w:sz="4" w:space="0"/>
            </w:tcBorders>
            <w:noWrap w:val="0"/>
            <w:vAlign w:val="center"/>
          </w:tcPr>
          <w:p w14:paraId="5A71B39B">
            <w:pPr>
              <w:adjustRightInd w:val="0"/>
              <w:snapToGrid w:val="0"/>
              <w:spacing w:before="50" w:line="360" w:lineRule="auto"/>
              <w:ind w:left="-88" w:leftChars="-42"/>
              <w:jc w:val="center"/>
              <w:rPr>
                <w:rFonts w:ascii="宋体" w:hAnsi="宋体" w:eastAsia="宋体"/>
                <w:color w:val="auto"/>
                <w:szCs w:val="21"/>
              </w:rPr>
            </w:pPr>
          </w:p>
        </w:tc>
        <w:tc>
          <w:tcPr>
            <w:tcW w:w="3882" w:type="dxa"/>
            <w:gridSpan w:val="2"/>
            <w:tcBorders>
              <w:left w:val="single" w:color="auto" w:sz="4" w:space="0"/>
            </w:tcBorders>
            <w:noWrap w:val="0"/>
            <w:vAlign w:val="center"/>
          </w:tcPr>
          <w:p w14:paraId="6F5A26C7">
            <w:pPr>
              <w:adjustRightInd w:val="0"/>
              <w:snapToGrid w:val="0"/>
              <w:spacing w:before="50" w:line="360" w:lineRule="auto"/>
              <w:ind w:firstLine="422" w:firstLineChars="200"/>
              <w:rPr>
                <w:rFonts w:ascii="宋体" w:hAnsi="宋体" w:eastAsia="宋体"/>
                <w:color w:val="auto"/>
                <w:szCs w:val="21"/>
              </w:rPr>
            </w:pPr>
            <w:r>
              <w:rPr>
                <w:rFonts w:hint="eastAsia" w:ascii="宋体" w:hAnsi="宋体" w:eastAsia="宋体"/>
                <w:b/>
                <w:color w:val="auto"/>
                <w:szCs w:val="21"/>
              </w:rPr>
              <w:t>投标人保证：除本采购需求偏离表列出的偏离外，我单位对招标文件的其他采购需求条款完全响应，无偏离。</w:t>
            </w:r>
          </w:p>
        </w:tc>
      </w:tr>
    </w:tbl>
    <w:p w14:paraId="74D925AB">
      <w:pPr>
        <w:adjustRightInd w:val="0"/>
        <w:snapToGrid w:val="0"/>
        <w:spacing w:before="50" w:line="360" w:lineRule="auto"/>
        <w:ind w:left="-88" w:leftChars="-42"/>
        <w:rPr>
          <w:rFonts w:ascii="宋体" w:hAnsi="宋体" w:eastAsia="宋体"/>
          <w:color w:val="auto"/>
          <w:szCs w:val="21"/>
        </w:rPr>
      </w:pPr>
      <w:r>
        <w:rPr>
          <w:rFonts w:hint="eastAsia" w:ascii="宋体" w:hAnsi="宋体" w:eastAsia="宋体"/>
          <w:b w:val="0"/>
          <w:bCs/>
          <w:color w:val="auto"/>
          <w:szCs w:val="21"/>
        </w:rPr>
        <w:t>注：</w:t>
      </w:r>
      <w:r>
        <w:rPr>
          <w:rFonts w:hint="eastAsia" w:ascii="宋体" w:hAnsi="宋体"/>
          <w:color w:val="auto"/>
          <w:szCs w:val="21"/>
          <w:lang w:val="en-US" w:eastAsia="zh-CN"/>
        </w:rPr>
        <w:t>1.</w:t>
      </w:r>
      <w:r>
        <w:rPr>
          <w:rFonts w:hint="eastAsia" w:ascii="宋体" w:hAnsi="宋体" w:eastAsia="宋体"/>
          <w:color w:val="auto"/>
          <w:szCs w:val="21"/>
        </w:rPr>
        <w:t>投标人应根据招标文件第五章“采购需求”填写本表；</w:t>
      </w:r>
    </w:p>
    <w:p w14:paraId="70E02EE6">
      <w:pPr>
        <w:adjustRightInd w:val="0"/>
        <w:snapToGrid w:val="0"/>
        <w:spacing w:before="50" w:line="360" w:lineRule="auto"/>
        <w:ind w:left="-88" w:leftChars="-42" w:firstLine="420" w:firstLineChars="200"/>
        <w:rPr>
          <w:rFonts w:ascii="宋体" w:hAnsi="宋体" w:eastAsia="宋体"/>
          <w:b/>
          <w:color w:val="auto"/>
          <w:szCs w:val="21"/>
        </w:rPr>
      </w:pPr>
      <w:r>
        <w:rPr>
          <w:rFonts w:hint="eastAsia" w:ascii="宋体" w:hAnsi="宋体"/>
          <w:color w:val="auto"/>
          <w:szCs w:val="21"/>
          <w:lang w:val="en-US" w:eastAsia="zh-CN"/>
        </w:rPr>
        <w:t>2.</w:t>
      </w:r>
      <w:r>
        <w:rPr>
          <w:rFonts w:hint="eastAsia" w:ascii="宋体" w:hAnsi="宋体" w:eastAsia="宋体"/>
          <w:b/>
          <w:color w:val="auto"/>
          <w:szCs w:val="21"/>
        </w:rPr>
        <w:t>投标人如果对招标文件第五章“采购需求”的响应有偏离，应将偏离条款逐条如实应答，并作出说明；</w:t>
      </w:r>
    </w:p>
    <w:p w14:paraId="1CEFF1CE">
      <w:pPr>
        <w:adjustRightInd w:val="0"/>
        <w:snapToGrid w:val="0"/>
        <w:spacing w:before="50" w:line="360" w:lineRule="auto"/>
        <w:ind w:left="-88" w:leftChars="-42" w:firstLine="420" w:firstLineChars="200"/>
        <w:rPr>
          <w:rFonts w:ascii="宋体" w:hAnsi="宋体" w:eastAsia="宋体"/>
          <w:color w:val="auto"/>
          <w:szCs w:val="21"/>
        </w:rPr>
      </w:pPr>
      <w:r>
        <w:rPr>
          <w:rFonts w:hint="eastAsia" w:ascii="宋体" w:hAnsi="宋体"/>
          <w:color w:val="auto"/>
          <w:szCs w:val="21"/>
          <w:lang w:val="en-US" w:eastAsia="zh-CN"/>
        </w:rPr>
        <w:t>3.</w:t>
      </w:r>
      <w:r>
        <w:rPr>
          <w:rFonts w:hint="eastAsia" w:ascii="宋体" w:hAnsi="宋体" w:eastAsia="宋体"/>
          <w:color w:val="auto"/>
          <w:szCs w:val="21"/>
        </w:rPr>
        <w:t>如不提供此表，则视为投标人不满足招标文件第五章的所有条款要求，其</w:t>
      </w:r>
      <w:r>
        <w:rPr>
          <w:rFonts w:hint="eastAsia" w:ascii="宋体" w:hAnsi="宋体" w:eastAsia="宋体"/>
          <w:b/>
          <w:color w:val="auto"/>
          <w:szCs w:val="21"/>
        </w:rPr>
        <w:t>投标无效</w:t>
      </w:r>
      <w:r>
        <w:rPr>
          <w:rFonts w:hint="eastAsia" w:ascii="宋体" w:hAnsi="宋体" w:eastAsia="宋体"/>
          <w:color w:val="auto"/>
          <w:szCs w:val="21"/>
        </w:rPr>
        <w:t>。</w:t>
      </w:r>
    </w:p>
    <w:p w14:paraId="5784C9E7">
      <w:pPr>
        <w:adjustRightInd w:val="0"/>
        <w:snapToGrid w:val="0"/>
        <w:spacing w:before="50" w:line="360" w:lineRule="auto"/>
        <w:ind w:left="-88" w:leftChars="-42" w:firstLine="420" w:firstLineChars="200"/>
        <w:rPr>
          <w:rFonts w:ascii="宋体" w:hAnsi="宋体" w:eastAsia="宋体"/>
          <w:color w:val="auto"/>
          <w:szCs w:val="21"/>
        </w:rPr>
      </w:pPr>
      <w:r>
        <w:rPr>
          <w:rFonts w:hint="eastAsia" w:ascii="宋体" w:hAnsi="宋体"/>
          <w:color w:val="auto"/>
          <w:szCs w:val="21"/>
          <w:lang w:val="en-US" w:eastAsia="zh-CN"/>
        </w:rPr>
        <w:t>4.</w:t>
      </w:r>
      <w:r>
        <w:rPr>
          <w:rFonts w:hint="eastAsia" w:ascii="宋体" w:hAnsi="宋体" w:eastAsia="宋体"/>
          <w:color w:val="auto"/>
          <w:szCs w:val="21"/>
        </w:rPr>
        <w:t>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7D708F4B">
      <w:pPr>
        <w:adjustRightInd w:val="0"/>
        <w:snapToGrid w:val="0"/>
        <w:spacing w:before="50" w:line="360" w:lineRule="auto"/>
        <w:ind w:left="-88" w:leftChars="-42" w:firstLine="420" w:firstLineChars="200"/>
        <w:rPr>
          <w:rFonts w:ascii="宋体" w:hAnsi="宋体" w:eastAsia="宋体"/>
          <w:color w:val="auto"/>
          <w:szCs w:val="21"/>
        </w:rPr>
      </w:pPr>
      <w:r>
        <w:rPr>
          <w:rFonts w:hint="eastAsia" w:ascii="宋体" w:hAnsi="宋体"/>
          <w:color w:val="auto"/>
          <w:szCs w:val="21"/>
          <w:lang w:val="en-US" w:eastAsia="zh-CN"/>
        </w:rPr>
        <w:t>5.</w:t>
      </w:r>
      <w:r>
        <w:rPr>
          <w:rFonts w:hint="eastAsia" w:ascii="宋体" w:hAnsi="宋体" w:eastAsia="宋体"/>
          <w:color w:val="auto"/>
          <w:szCs w:val="21"/>
        </w:rPr>
        <w:t>本表偏离表与本章第</w:t>
      </w:r>
      <w:r>
        <w:rPr>
          <w:rFonts w:hint="eastAsia" w:ascii="宋体" w:hAnsi="宋体"/>
          <w:color w:val="auto"/>
          <w:szCs w:val="21"/>
          <w:lang w:eastAsia="zh-CN"/>
        </w:rPr>
        <w:t>六</w:t>
      </w:r>
      <w:r>
        <w:rPr>
          <w:rFonts w:hint="eastAsia" w:ascii="宋体" w:hAnsi="宋体" w:eastAsia="宋体"/>
          <w:color w:val="auto"/>
          <w:szCs w:val="21"/>
        </w:rPr>
        <w:t>节“采购需求响应”不一致时，以“采购需求响应”为准。</w:t>
      </w:r>
    </w:p>
    <w:p w14:paraId="32948F75">
      <w:pPr>
        <w:adjustRightInd w:val="0"/>
        <w:snapToGrid w:val="0"/>
        <w:spacing w:before="50" w:line="360" w:lineRule="auto"/>
        <w:rPr>
          <w:rFonts w:ascii="宋体" w:hAnsi="宋体" w:eastAsia="宋体"/>
          <w:color w:val="auto"/>
          <w:szCs w:val="21"/>
        </w:rPr>
      </w:pPr>
    </w:p>
    <w:p w14:paraId="1E62B433">
      <w:pPr>
        <w:adjustRightInd w:val="0"/>
        <w:snapToGrid w:val="0"/>
        <w:spacing w:before="50" w:line="360" w:lineRule="auto"/>
        <w:rPr>
          <w:rFonts w:ascii="宋体" w:hAnsi="宋体"/>
          <w:color w:val="auto"/>
          <w:szCs w:val="21"/>
        </w:rPr>
      </w:pPr>
    </w:p>
    <w:p w14:paraId="3F5B7304">
      <w:pPr>
        <w:adjustRightInd w:val="0"/>
        <w:snapToGrid w:val="0"/>
        <w:spacing w:before="50" w:line="360" w:lineRule="auto"/>
        <w:rPr>
          <w:rFonts w:ascii="宋体" w:hAnsi="宋体"/>
          <w:color w:val="auto"/>
          <w:szCs w:val="21"/>
        </w:rPr>
      </w:pPr>
      <w:r>
        <w:rPr>
          <w:rFonts w:hint="eastAsia" w:ascii="宋体" w:hAnsi="宋体"/>
          <w:color w:val="auto"/>
          <w:szCs w:val="21"/>
        </w:rPr>
        <w:t>投标人名称（盖单位章）：</w:t>
      </w:r>
    </w:p>
    <w:p w14:paraId="0474820A">
      <w:pPr>
        <w:adjustRightInd w:val="0"/>
        <w:snapToGrid w:val="0"/>
        <w:spacing w:before="50" w:line="360" w:lineRule="auto"/>
        <w:rPr>
          <w:rFonts w:ascii="宋体" w:hAnsi="宋体"/>
          <w:color w:val="auto"/>
          <w:szCs w:val="21"/>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3CE35228">
      <w:pPr>
        <w:adjustRightInd w:val="0"/>
        <w:snapToGrid w:val="0"/>
        <w:spacing w:before="50" w:line="360" w:lineRule="auto"/>
        <w:rPr>
          <w:rFonts w:ascii="宋体" w:hAnsi="宋体"/>
          <w:color w:val="auto"/>
          <w:szCs w:val="21"/>
        </w:rPr>
        <w:sectPr>
          <w:pgSz w:w="11906" w:h="16838"/>
          <w:pgMar w:top="1474" w:right="1474" w:bottom="1474" w:left="1474" w:header="851" w:footer="992" w:gutter="0"/>
          <w:pgNumType w:fmt="decimal"/>
          <w:cols w:space="720" w:num="1"/>
          <w:docGrid w:type="lines" w:linePitch="312" w:charSpace="0"/>
        </w:sect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p>
    <w:p w14:paraId="3C6CDC7D">
      <w:pPr>
        <w:adjustRightInd w:val="0"/>
        <w:snapToGrid w:val="0"/>
        <w:spacing w:after="159" w:afterLines="50" w:afterAutospacing="0" w:line="192" w:lineRule="auto"/>
        <w:rPr>
          <w:rFonts w:ascii="黑体" w:hAnsi="宋体" w:eastAsia="黑体"/>
          <w:color w:val="auto"/>
          <w:szCs w:val="21"/>
        </w:rPr>
      </w:pPr>
    </w:p>
    <w:p w14:paraId="64479404">
      <w:pPr>
        <w:pStyle w:val="6"/>
        <w:adjustRightInd w:val="0"/>
        <w:snapToGrid w:val="0"/>
        <w:spacing w:before="0" w:after="0" w:line="360" w:lineRule="auto"/>
        <w:jc w:val="center"/>
        <w:rPr>
          <w:rFonts w:ascii="黑体" w:hAnsi="宋体" w:eastAsia="黑体"/>
          <w:color w:val="auto"/>
          <w:sz w:val="28"/>
          <w:szCs w:val="28"/>
        </w:rPr>
      </w:pPr>
      <w:bookmarkStart w:id="93" w:name="_Toc22806"/>
      <w:r>
        <w:rPr>
          <w:rFonts w:hint="eastAsia" w:ascii="黑体" w:hAnsi="宋体" w:eastAsia="黑体"/>
          <w:color w:val="auto"/>
          <w:sz w:val="28"/>
          <w:szCs w:val="28"/>
          <w:lang w:eastAsia="zh-CN"/>
        </w:rPr>
        <w:t>八</w:t>
      </w:r>
      <w:r>
        <w:rPr>
          <w:rFonts w:hint="eastAsia" w:ascii="黑体" w:hAnsi="宋体" w:eastAsia="黑体"/>
          <w:color w:val="auto"/>
          <w:sz w:val="28"/>
          <w:szCs w:val="28"/>
        </w:rPr>
        <w:t>、招标文件规定的证明文件</w:t>
      </w:r>
      <w:bookmarkEnd w:id="93"/>
    </w:p>
    <w:p w14:paraId="72E8CDC0">
      <w:pPr>
        <w:adjustRightInd w:val="0"/>
        <w:snapToGrid w:val="0"/>
        <w:spacing w:line="360" w:lineRule="auto"/>
        <w:rPr>
          <w:rFonts w:ascii="宋体" w:hAnsi="宋体" w:eastAsia="宋体"/>
          <w:color w:val="auto"/>
          <w:szCs w:val="21"/>
        </w:rPr>
      </w:pPr>
    </w:p>
    <w:p w14:paraId="79D6B20A">
      <w:pPr>
        <w:adjustRightInd w:val="0"/>
        <w:snapToGrid w:val="0"/>
        <w:spacing w:line="360" w:lineRule="auto"/>
        <w:rPr>
          <w:rFonts w:ascii="宋体" w:hAnsi="宋体" w:eastAsia="宋体"/>
          <w:color w:val="auto"/>
        </w:rPr>
      </w:pPr>
      <w:r>
        <w:rPr>
          <w:rFonts w:hint="eastAsia" w:ascii="宋体" w:hAnsi="宋体" w:eastAsia="宋体"/>
          <w:color w:val="auto"/>
          <w:szCs w:val="21"/>
        </w:rPr>
        <w:t>注：提供</w:t>
      </w:r>
      <w:r>
        <w:rPr>
          <w:rFonts w:hint="eastAsia" w:ascii="宋体" w:hAnsi="宋体"/>
          <w:color w:val="auto"/>
          <w:szCs w:val="21"/>
          <w:lang w:eastAsia="zh-CN"/>
        </w:rPr>
        <w:t>招标文件中</w:t>
      </w:r>
      <w:r>
        <w:rPr>
          <w:rFonts w:hint="eastAsia" w:ascii="宋体" w:hAnsi="宋体" w:eastAsia="宋体"/>
          <w:color w:val="auto"/>
          <w:szCs w:val="21"/>
        </w:rPr>
        <w:t>规定的证明材料复印件</w:t>
      </w:r>
      <w:r>
        <w:rPr>
          <w:rFonts w:hint="eastAsia" w:ascii="宋体" w:hAnsi="宋体"/>
          <w:color w:val="auto"/>
          <w:szCs w:val="21"/>
          <w:lang w:eastAsia="zh-CN"/>
        </w:rPr>
        <w:t>，及评分办法中要求提供的证明文件</w:t>
      </w:r>
      <w:r>
        <w:rPr>
          <w:rFonts w:hint="eastAsia" w:ascii="宋体" w:hAnsi="宋体" w:eastAsia="宋体"/>
          <w:color w:val="auto"/>
          <w:szCs w:val="21"/>
        </w:rPr>
        <w:t>。</w:t>
      </w:r>
    </w:p>
    <w:p w14:paraId="78858517">
      <w:pPr>
        <w:widowControl/>
        <w:jc w:val="left"/>
        <w:rPr>
          <w:rFonts w:ascii="黑体" w:eastAsia="黑体"/>
          <w:color w:val="auto"/>
          <w:sz w:val="10"/>
          <w:szCs w:val="10"/>
        </w:rPr>
      </w:pPr>
      <w:r>
        <w:rPr>
          <w:rFonts w:ascii="黑体" w:eastAsia="黑体"/>
          <w:b/>
          <w:bCs/>
          <w:color w:val="auto"/>
          <w:sz w:val="28"/>
          <w:szCs w:val="28"/>
        </w:rPr>
        <w:br w:type="page"/>
      </w:r>
    </w:p>
    <w:p w14:paraId="4013463B">
      <w:pPr>
        <w:pStyle w:val="6"/>
        <w:adjustRightInd w:val="0"/>
        <w:snapToGrid w:val="0"/>
        <w:spacing w:before="0" w:after="0" w:line="360" w:lineRule="auto"/>
        <w:jc w:val="center"/>
        <w:rPr>
          <w:rFonts w:ascii="黑体" w:hAnsi="宋体" w:eastAsia="黑体"/>
          <w:color w:val="auto"/>
          <w:sz w:val="28"/>
          <w:szCs w:val="28"/>
        </w:rPr>
      </w:pPr>
      <w:bookmarkStart w:id="94" w:name="_Toc20609"/>
      <w:r>
        <w:rPr>
          <w:rFonts w:hint="eastAsia" w:ascii="黑体" w:hAnsi="宋体" w:eastAsia="黑体"/>
          <w:color w:val="auto"/>
          <w:sz w:val="28"/>
          <w:szCs w:val="28"/>
          <w:lang w:eastAsia="zh-CN"/>
        </w:rPr>
        <w:t>九</w:t>
      </w:r>
      <w:r>
        <w:rPr>
          <w:rFonts w:hint="eastAsia" w:ascii="黑体" w:hAnsi="宋体" w:eastAsia="黑体"/>
          <w:color w:val="auto"/>
          <w:sz w:val="28"/>
          <w:szCs w:val="28"/>
        </w:rPr>
        <w:t>、投标人认为需提供的其他资料</w:t>
      </w:r>
      <w:bookmarkEnd w:id="94"/>
    </w:p>
    <w:p w14:paraId="09F41F6C">
      <w:pPr>
        <w:adjustRightInd w:val="0"/>
        <w:snapToGrid w:val="0"/>
        <w:spacing w:before="156" w:beforeLines="50" w:line="360" w:lineRule="auto"/>
        <w:rPr>
          <w:rFonts w:ascii="宋体" w:hAnsi="宋体" w:eastAsia="宋体"/>
          <w:color w:val="auto"/>
        </w:rPr>
      </w:pPr>
    </w:p>
    <w:p w14:paraId="68A050F4">
      <w:pPr>
        <w:adjustRightInd w:val="0"/>
        <w:snapToGrid w:val="0"/>
        <w:spacing w:before="156" w:beforeLines="50" w:line="360" w:lineRule="auto"/>
        <w:rPr>
          <w:rFonts w:ascii="宋体" w:hAnsi="宋体" w:eastAsia="宋体"/>
          <w:color w:val="auto"/>
        </w:rPr>
      </w:pPr>
      <w:r>
        <w:rPr>
          <w:rFonts w:hint="eastAsia" w:ascii="宋体" w:hAnsi="宋体" w:eastAsia="宋体"/>
          <w:color w:val="auto"/>
        </w:rPr>
        <w:t>注：投标人认为需提供的其他资料包括：</w:t>
      </w:r>
    </w:p>
    <w:p w14:paraId="268E5E3B">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color w:val="auto"/>
          <w:lang w:val="en-US" w:eastAsia="zh-CN"/>
        </w:rPr>
        <w:t>1.</w:t>
      </w:r>
      <w:r>
        <w:rPr>
          <w:rFonts w:hint="eastAsia" w:ascii="宋体" w:hAnsi="宋体" w:eastAsia="宋体"/>
          <w:color w:val="auto"/>
        </w:rPr>
        <w:t>招标文件</w:t>
      </w:r>
      <w:r>
        <w:rPr>
          <w:rFonts w:hint="eastAsia" w:ascii="宋体" w:hAnsi="宋体"/>
          <w:color w:val="auto"/>
          <w:lang w:eastAsia="zh-CN"/>
        </w:rPr>
        <w:t>中</w:t>
      </w:r>
      <w:r>
        <w:rPr>
          <w:rFonts w:hint="eastAsia" w:ascii="宋体" w:hAnsi="宋体" w:eastAsia="宋体"/>
          <w:color w:val="auto"/>
        </w:rPr>
        <w:t>要求的其他资料。</w:t>
      </w:r>
    </w:p>
    <w:p w14:paraId="0068F1CA">
      <w:pPr>
        <w:adjustRightInd w:val="0"/>
        <w:snapToGrid w:val="0"/>
        <w:spacing w:before="156" w:beforeLines="50" w:line="360" w:lineRule="auto"/>
        <w:rPr>
          <w:rFonts w:hint="default" w:ascii="宋体" w:hAnsi="宋体" w:eastAsia="宋体"/>
          <w:color w:val="auto"/>
          <w:lang w:val="en-US" w:eastAsia="zh-CN"/>
        </w:rPr>
      </w:pPr>
      <w:r>
        <w:rPr>
          <w:rFonts w:hint="eastAsia" w:ascii="宋体" w:hAnsi="宋体"/>
          <w:color w:val="auto"/>
          <w:lang w:val="en-US" w:eastAsia="zh-CN"/>
        </w:rPr>
        <w:t xml:space="preserve">   </w:t>
      </w:r>
    </w:p>
    <w:p w14:paraId="1C7FEB49">
      <w:pPr>
        <w:rPr>
          <w:color w:val="auto"/>
        </w:rPr>
      </w:pPr>
    </w:p>
    <w:p w14:paraId="647E84FC">
      <w:pPr>
        <w:widowControl/>
        <w:jc w:val="left"/>
        <w:rPr>
          <w:color w:val="auto"/>
        </w:rPr>
      </w:pPr>
    </w:p>
    <w:p w14:paraId="75E3E0AE">
      <w:pPr>
        <w:rPr>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1794A">
    <w:pPr>
      <w:pStyle w:val="18"/>
      <w:ind w:left="300" w:right="359" w:rightChars="171" w:hanging="180" w:hangingChars="100"/>
      <w:rPr>
        <w:rFonts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DA2279">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DA227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C882">
    <w:pPr>
      <w:pStyle w:val="1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942AB7">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7942AB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1D42">
    <w:pPr>
      <w:pStyle w:val="18"/>
      <w:framePr w:wrap="around" w:vAnchor="text" w:hAnchor="margin" w:xAlign="right" w:y="1"/>
      <w:rPr>
        <w:rStyle w:val="29"/>
      </w:rPr>
    </w:pPr>
    <w:r>
      <w:fldChar w:fldCharType="begin"/>
    </w:r>
    <w:r>
      <w:rPr>
        <w:rStyle w:val="29"/>
      </w:rPr>
      <w:instrText xml:space="preserve">PAGE  </w:instrText>
    </w:r>
    <w:r>
      <w:fldChar w:fldCharType="end"/>
    </w:r>
  </w:p>
  <w:p w14:paraId="65327BB0">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01E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401C9">
    <w:pPr>
      <w:pStyle w:val="18"/>
      <w:ind w:left="300" w:right="359" w:rightChars="171" w:hanging="180" w:hangingChars="100"/>
      <w:rPr>
        <w:rFonts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245957">
                          <w:pPr>
                            <w:pStyle w:val="18"/>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9245957">
                    <w:pPr>
                      <w:pStyle w:val="1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EA3F">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CFDF">
    <w:pPr>
      <w:pStyle w:val="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173B">
    <w:pPr>
      <w:pStyle w:val="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5563">
    <w:pPr>
      <w:pStyle w:val="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B83B">
    <w:pPr>
      <w:pStyle w:val="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CC66">
    <w:pPr>
      <w:pStyle w:val="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3F25">
    <w:pPr>
      <w:pStyle w:val="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6833">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7D641"/>
    <w:multiLevelType w:val="singleLevel"/>
    <w:tmpl w:val="E0E7D641"/>
    <w:lvl w:ilvl="0" w:tentative="0">
      <w:start w:val="1"/>
      <w:numFmt w:val="decimal"/>
      <w:suff w:val="nothing"/>
      <w:lvlText w:val="%1、"/>
      <w:lvlJc w:val="left"/>
    </w:lvl>
  </w:abstractNum>
  <w:abstractNum w:abstractNumId="1">
    <w:nsid w:val="087B1468"/>
    <w:multiLevelType w:val="singleLevel"/>
    <w:tmpl w:val="087B1468"/>
    <w:lvl w:ilvl="0" w:tentative="0">
      <w:start w:val="4"/>
      <w:numFmt w:val="decimal"/>
      <w:suff w:val="space"/>
      <w:lvlText w:val="%1."/>
      <w:lvlJc w:val="left"/>
    </w:lvl>
  </w:abstractNum>
  <w:abstractNum w:abstractNumId="2">
    <w:nsid w:val="3ACC4097"/>
    <w:multiLevelType w:val="singleLevel"/>
    <w:tmpl w:val="3ACC4097"/>
    <w:lvl w:ilvl="0" w:tentative="0">
      <w:start w:val="3"/>
      <w:numFmt w:val="chineseCounting"/>
      <w:suff w:val="nothing"/>
      <w:lvlText w:val="%1、"/>
      <w:lvlJc w:val="left"/>
      <w:rPr>
        <w:rFonts w:hint="eastAsia"/>
      </w:rPr>
    </w:lvl>
  </w:abstractNum>
  <w:abstractNum w:abstractNumId="3">
    <w:nsid w:val="49CBC735"/>
    <w:multiLevelType w:val="singleLevel"/>
    <w:tmpl w:val="49CBC735"/>
    <w:lvl w:ilvl="0" w:tentative="0">
      <w:start w:val="4"/>
      <w:numFmt w:val="chineseCounting"/>
      <w:suff w:val="nothing"/>
      <w:lvlText w:val="%1、"/>
      <w:lvlJc w:val="left"/>
      <w:pPr>
        <w:tabs>
          <w:tab w:val="left" w:pos="0"/>
        </w:tabs>
        <w:ind w:left="-2"/>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Dk1ZjY5Zjk0OWQwMzE0Y2ExOTQwMDNhMzY3ZjEifQ=="/>
    <w:docVar w:name="KSO_WPS_MARK_KEY" w:val="fb49caf7-6983-41b4-88d2-52a2a9fc0517"/>
  </w:docVars>
  <w:rsids>
    <w:rsidRoot w:val="00000000"/>
    <w:rsid w:val="00F66F31"/>
    <w:rsid w:val="02875318"/>
    <w:rsid w:val="028A3101"/>
    <w:rsid w:val="02A72F4F"/>
    <w:rsid w:val="02E24306"/>
    <w:rsid w:val="037E23B6"/>
    <w:rsid w:val="03802AE2"/>
    <w:rsid w:val="03A374C7"/>
    <w:rsid w:val="041C2A8F"/>
    <w:rsid w:val="046441B2"/>
    <w:rsid w:val="04A9786D"/>
    <w:rsid w:val="05052F62"/>
    <w:rsid w:val="05D02FA3"/>
    <w:rsid w:val="05EE32CE"/>
    <w:rsid w:val="06A93F85"/>
    <w:rsid w:val="07014A01"/>
    <w:rsid w:val="070457D8"/>
    <w:rsid w:val="070E1335"/>
    <w:rsid w:val="078739F3"/>
    <w:rsid w:val="07DE468D"/>
    <w:rsid w:val="08EF7874"/>
    <w:rsid w:val="09291D37"/>
    <w:rsid w:val="09847AD5"/>
    <w:rsid w:val="09B10949"/>
    <w:rsid w:val="0A7E6047"/>
    <w:rsid w:val="0B2039F9"/>
    <w:rsid w:val="0CD81BE1"/>
    <w:rsid w:val="0D4B2D86"/>
    <w:rsid w:val="0D790B80"/>
    <w:rsid w:val="0F47147D"/>
    <w:rsid w:val="0F62101D"/>
    <w:rsid w:val="12901D6E"/>
    <w:rsid w:val="129A4C40"/>
    <w:rsid w:val="129B1039"/>
    <w:rsid w:val="13477178"/>
    <w:rsid w:val="13935326"/>
    <w:rsid w:val="13F33034"/>
    <w:rsid w:val="164F1596"/>
    <w:rsid w:val="18126980"/>
    <w:rsid w:val="18D61636"/>
    <w:rsid w:val="190F76A7"/>
    <w:rsid w:val="193C1B83"/>
    <w:rsid w:val="199F751A"/>
    <w:rsid w:val="1ACD08AB"/>
    <w:rsid w:val="1B843622"/>
    <w:rsid w:val="1BD76757"/>
    <w:rsid w:val="1C964DDA"/>
    <w:rsid w:val="1CC64FB7"/>
    <w:rsid w:val="1CEC6CD0"/>
    <w:rsid w:val="1D8C1DF0"/>
    <w:rsid w:val="1E214A6A"/>
    <w:rsid w:val="1F065DFC"/>
    <w:rsid w:val="202D10CE"/>
    <w:rsid w:val="204B57BC"/>
    <w:rsid w:val="218510F2"/>
    <w:rsid w:val="218D48F0"/>
    <w:rsid w:val="21AA6E76"/>
    <w:rsid w:val="22E76282"/>
    <w:rsid w:val="22F17100"/>
    <w:rsid w:val="23115054"/>
    <w:rsid w:val="23467E93"/>
    <w:rsid w:val="234C23A9"/>
    <w:rsid w:val="24822405"/>
    <w:rsid w:val="24957B8F"/>
    <w:rsid w:val="265C4F57"/>
    <w:rsid w:val="26DB7824"/>
    <w:rsid w:val="281752F4"/>
    <w:rsid w:val="28FC30EE"/>
    <w:rsid w:val="295274B5"/>
    <w:rsid w:val="296C060F"/>
    <w:rsid w:val="2A211C97"/>
    <w:rsid w:val="2A697705"/>
    <w:rsid w:val="2A71367D"/>
    <w:rsid w:val="2AAC6D47"/>
    <w:rsid w:val="2BE30043"/>
    <w:rsid w:val="2C28298A"/>
    <w:rsid w:val="2C4E1F9C"/>
    <w:rsid w:val="2EB168C3"/>
    <w:rsid w:val="2F1E19DF"/>
    <w:rsid w:val="2F255896"/>
    <w:rsid w:val="2FA07EE4"/>
    <w:rsid w:val="30197C97"/>
    <w:rsid w:val="30C47C0F"/>
    <w:rsid w:val="3193735B"/>
    <w:rsid w:val="321B2412"/>
    <w:rsid w:val="32684FF1"/>
    <w:rsid w:val="3287431C"/>
    <w:rsid w:val="32C160DE"/>
    <w:rsid w:val="32ED664A"/>
    <w:rsid w:val="33470DD1"/>
    <w:rsid w:val="33B25423"/>
    <w:rsid w:val="35371786"/>
    <w:rsid w:val="35C33C89"/>
    <w:rsid w:val="3647730B"/>
    <w:rsid w:val="364C4922"/>
    <w:rsid w:val="37FA3BF5"/>
    <w:rsid w:val="38184EE4"/>
    <w:rsid w:val="38806B05"/>
    <w:rsid w:val="38E0408D"/>
    <w:rsid w:val="3947398A"/>
    <w:rsid w:val="395F1B47"/>
    <w:rsid w:val="39B206A6"/>
    <w:rsid w:val="39BD4490"/>
    <w:rsid w:val="39E95011"/>
    <w:rsid w:val="3B805BA6"/>
    <w:rsid w:val="3C3D6577"/>
    <w:rsid w:val="3C6B1A5A"/>
    <w:rsid w:val="3C865009"/>
    <w:rsid w:val="3C97266F"/>
    <w:rsid w:val="3C9F54F5"/>
    <w:rsid w:val="3CE96355"/>
    <w:rsid w:val="3CFF19BD"/>
    <w:rsid w:val="3D2F293C"/>
    <w:rsid w:val="3D7A7FC6"/>
    <w:rsid w:val="3DB358B8"/>
    <w:rsid w:val="3DBB765C"/>
    <w:rsid w:val="3DFE00AC"/>
    <w:rsid w:val="3E1A6989"/>
    <w:rsid w:val="3F7E62FE"/>
    <w:rsid w:val="40266E65"/>
    <w:rsid w:val="40686461"/>
    <w:rsid w:val="407056B1"/>
    <w:rsid w:val="40864ED4"/>
    <w:rsid w:val="414E2840"/>
    <w:rsid w:val="417F67D0"/>
    <w:rsid w:val="41EC0D67"/>
    <w:rsid w:val="42022884"/>
    <w:rsid w:val="42523FFF"/>
    <w:rsid w:val="427566DA"/>
    <w:rsid w:val="427D3F84"/>
    <w:rsid w:val="447E423C"/>
    <w:rsid w:val="44CA5AB0"/>
    <w:rsid w:val="458E3A6E"/>
    <w:rsid w:val="461D3F03"/>
    <w:rsid w:val="46E4281F"/>
    <w:rsid w:val="479579BF"/>
    <w:rsid w:val="48426667"/>
    <w:rsid w:val="487F7E32"/>
    <w:rsid w:val="48AB372A"/>
    <w:rsid w:val="49780684"/>
    <w:rsid w:val="49815E13"/>
    <w:rsid w:val="49F83516"/>
    <w:rsid w:val="4A8723E4"/>
    <w:rsid w:val="4B1F3F5B"/>
    <w:rsid w:val="4B935AED"/>
    <w:rsid w:val="4C9040DF"/>
    <w:rsid w:val="4CCB30D2"/>
    <w:rsid w:val="4CEA7E0D"/>
    <w:rsid w:val="4DAB0C60"/>
    <w:rsid w:val="4DC67D78"/>
    <w:rsid w:val="4E42634F"/>
    <w:rsid w:val="4ED85617"/>
    <w:rsid w:val="500B4FFF"/>
    <w:rsid w:val="518C20FE"/>
    <w:rsid w:val="51992F95"/>
    <w:rsid w:val="52B6200C"/>
    <w:rsid w:val="53033605"/>
    <w:rsid w:val="53096011"/>
    <w:rsid w:val="530E5635"/>
    <w:rsid w:val="532A054E"/>
    <w:rsid w:val="53700A53"/>
    <w:rsid w:val="53953DA9"/>
    <w:rsid w:val="54C65554"/>
    <w:rsid w:val="54D46383"/>
    <w:rsid w:val="554F3A03"/>
    <w:rsid w:val="5595257F"/>
    <w:rsid w:val="56BE6DB9"/>
    <w:rsid w:val="56DF2662"/>
    <w:rsid w:val="56DF5C19"/>
    <w:rsid w:val="57551FAE"/>
    <w:rsid w:val="58852E3A"/>
    <w:rsid w:val="594C1CCA"/>
    <w:rsid w:val="5962091D"/>
    <w:rsid w:val="59A65848"/>
    <w:rsid w:val="5A151E24"/>
    <w:rsid w:val="5A2A47F4"/>
    <w:rsid w:val="5A5F25C6"/>
    <w:rsid w:val="5B662805"/>
    <w:rsid w:val="5BE55498"/>
    <w:rsid w:val="5C0F23CD"/>
    <w:rsid w:val="5CB52971"/>
    <w:rsid w:val="5D9A7640"/>
    <w:rsid w:val="5E3552D9"/>
    <w:rsid w:val="60867160"/>
    <w:rsid w:val="60E92BEA"/>
    <w:rsid w:val="62F61E2A"/>
    <w:rsid w:val="64177AD5"/>
    <w:rsid w:val="656349CE"/>
    <w:rsid w:val="660042F3"/>
    <w:rsid w:val="671A2D24"/>
    <w:rsid w:val="67420098"/>
    <w:rsid w:val="67602476"/>
    <w:rsid w:val="6A4B3817"/>
    <w:rsid w:val="6BA44E0E"/>
    <w:rsid w:val="6C1968D7"/>
    <w:rsid w:val="6C20303D"/>
    <w:rsid w:val="6C9604A5"/>
    <w:rsid w:val="6EF55AB5"/>
    <w:rsid w:val="6F7F1F35"/>
    <w:rsid w:val="6FCE31F6"/>
    <w:rsid w:val="706C2EEF"/>
    <w:rsid w:val="70E46838"/>
    <w:rsid w:val="71BB1AB5"/>
    <w:rsid w:val="71F942E2"/>
    <w:rsid w:val="72D30F51"/>
    <w:rsid w:val="738B2556"/>
    <w:rsid w:val="744E7886"/>
    <w:rsid w:val="74EF6E8A"/>
    <w:rsid w:val="75B90985"/>
    <w:rsid w:val="75D55717"/>
    <w:rsid w:val="766268AF"/>
    <w:rsid w:val="76E817E8"/>
    <w:rsid w:val="77CC60A6"/>
    <w:rsid w:val="78EC1B9D"/>
    <w:rsid w:val="79132C59"/>
    <w:rsid w:val="79674E4F"/>
    <w:rsid w:val="797057FE"/>
    <w:rsid w:val="79AA6EBC"/>
    <w:rsid w:val="79C9178A"/>
    <w:rsid w:val="79ED4D77"/>
    <w:rsid w:val="7A1D5A7A"/>
    <w:rsid w:val="7A3073D2"/>
    <w:rsid w:val="7AE10C8F"/>
    <w:rsid w:val="7B09415C"/>
    <w:rsid w:val="7B8254E0"/>
    <w:rsid w:val="7B8A21C8"/>
    <w:rsid w:val="7E39045E"/>
    <w:rsid w:val="7F9F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pacing w:before="100" w:beforeLines="100" w:after="50" w:afterLines="50"/>
      <w:jc w:val="center"/>
      <w:outlineLvl w:val="0"/>
    </w:pPr>
    <w:rPr>
      <w:rFonts w:ascii="Times New Roman" w:hAnsi="Times New Roman" w:eastAsia="黑体"/>
      <w:b/>
      <w:bCs/>
      <w:sz w:val="32"/>
      <w:szCs w:val="20"/>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lock Text"/>
    <w:basedOn w:val="1"/>
    <w:next w:val="1"/>
    <w:qFormat/>
    <w:uiPriority w:val="0"/>
    <w:pPr>
      <w:ind w:left="1171" w:right="91" w:hanging="1080"/>
    </w:pPr>
    <w:rPr>
      <w:rFonts w:eastAsia="楷体_GB2312"/>
      <w:szCs w:val="20"/>
    </w:rPr>
  </w:style>
  <w:style w:type="paragraph" w:styleId="8">
    <w:name w:val="Normal Indent"/>
    <w:basedOn w:val="1"/>
    <w:next w:val="9"/>
    <w:qFormat/>
    <w:uiPriority w:val="99"/>
    <w:pPr>
      <w:adjustRightInd w:val="0"/>
      <w:snapToGrid w:val="0"/>
    </w:pPr>
    <w:rPr>
      <w:rFonts w:ascii="宋体" w:hAnsi="华文细黑"/>
      <w:kern w:val="0"/>
    </w:rPr>
  </w:style>
  <w:style w:type="paragraph" w:customStyle="1" w:styleId="9">
    <w:name w:val="Default"/>
    <w:next w:val="10"/>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Intense Quote"/>
    <w:basedOn w:val="1"/>
    <w:next w:val="1"/>
    <w:qFormat/>
    <w:uiPriority w:val="0"/>
    <w:pPr>
      <w:pBdr>
        <w:bottom w:val="single" w:color="4F81BD" w:sz="4" w:space="4"/>
      </w:pBdr>
      <w:spacing w:before="200" w:after="280"/>
      <w:ind w:left="936" w:right="936"/>
    </w:pPr>
    <w:rPr>
      <w:b/>
      <w:bCs/>
      <w:i/>
      <w:iCs/>
      <w:color w:val="4F81BD"/>
      <w:szCs w:val="22"/>
    </w:rPr>
  </w:style>
  <w:style w:type="paragraph" w:styleId="11">
    <w:name w:val="Body Text"/>
    <w:basedOn w:val="1"/>
    <w:next w:val="9"/>
    <w:qFormat/>
    <w:uiPriority w:val="0"/>
    <w:pPr>
      <w:spacing w:after="120"/>
    </w:pPr>
  </w:style>
  <w:style w:type="paragraph" w:styleId="12">
    <w:name w:val="Body Text Indent"/>
    <w:basedOn w:val="1"/>
    <w:next w:val="13"/>
    <w:qFormat/>
    <w:uiPriority w:val="0"/>
    <w:pPr>
      <w:spacing w:after="120"/>
      <w:ind w:left="420" w:leftChars="200"/>
    </w:pPr>
  </w:style>
  <w:style w:type="paragraph" w:styleId="13">
    <w:name w:val="envelope return"/>
    <w:basedOn w:val="1"/>
    <w:unhideWhenUsed/>
    <w:qFormat/>
    <w:uiPriority w:val="99"/>
    <w:pPr>
      <w:snapToGrid w:val="0"/>
    </w:pPr>
    <w:rPr>
      <w:rFonts w:hint="eastAsia" w:ascii="Arial" w:hAnsi="Arial"/>
    </w:rPr>
  </w:style>
  <w:style w:type="paragraph" w:styleId="14">
    <w:name w:val="toc 3"/>
    <w:basedOn w:val="1"/>
    <w:next w:val="1"/>
    <w:unhideWhenUsed/>
    <w:qFormat/>
    <w:uiPriority w:val="39"/>
    <w:pPr>
      <w:adjustRightInd w:val="0"/>
      <w:snapToGrid w:val="0"/>
      <w:spacing w:line="360" w:lineRule="auto"/>
      <w:ind w:left="400" w:leftChars="400"/>
    </w:pPr>
    <w:rPr>
      <w:rFonts w:eastAsia="宋体"/>
      <w:b/>
    </w:r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rPr>
      <w:sz w:val="24"/>
      <w:szCs w:val="20"/>
    </w:rPr>
  </w:style>
  <w:style w:type="paragraph" w:styleId="17">
    <w:name w:val="Body Text Indent 2"/>
    <w:basedOn w:val="1"/>
    <w:qFormat/>
    <w:uiPriority w:val="0"/>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toc 1"/>
    <w:basedOn w:val="1"/>
    <w:next w:val="1"/>
    <w:qFormat/>
    <w:uiPriority w:val="39"/>
    <w:pPr>
      <w:spacing w:line="360" w:lineRule="auto"/>
    </w:pPr>
    <w:rPr>
      <w:rFonts w:ascii="宋体" w:hAnsi="宋体" w:eastAsia="宋体"/>
      <w:b/>
      <w:sz w:val="24"/>
      <w:szCs w:val="21"/>
    </w:rPr>
  </w:style>
  <w:style w:type="paragraph" w:styleId="20">
    <w:name w:val="toc 4"/>
    <w:basedOn w:val="1"/>
    <w:next w:val="1"/>
    <w:unhideWhenUsed/>
    <w:qFormat/>
    <w:uiPriority w:val="39"/>
    <w:pPr>
      <w:adjustRightInd w:val="0"/>
      <w:snapToGrid w:val="0"/>
      <w:spacing w:line="360" w:lineRule="auto"/>
      <w:ind w:left="600" w:leftChars="600"/>
    </w:pPr>
    <w:rPr>
      <w:rFonts w:ascii="Calibri" w:hAnsi="Calibri" w:eastAsia="宋体" w:cs="Times New Roman"/>
      <w:b/>
      <w:szCs w:val="22"/>
    </w:rPr>
  </w:style>
  <w:style w:type="paragraph" w:styleId="21">
    <w:name w:val="toc 2"/>
    <w:basedOn w:val="1"/>
    <w:next w:val="1"/>
    <w:unhideWhenUsed/>
    <w:qFormat/>
    <w:uiPriority w:val="39"/>
    <w:pPr>
      <w:spacing w:line="360" w:lineRule="auto"/>
      <w:ind w:left="200" w:leftChars="200"/>
    </w:pPr>
    <w:rPr>
      <w:rFonts w:eastAsia="宋体"/>
      <w:b/>
    </w:rPr>
  </w:style>
  <w:style w:type="paragraph" w:styleId="22">
    <w:name w:val="Body Text 2"/>
    <w:basedOn w:val="1"/>
    <w:qFormat/>
    <w:uiPriority w:val="0"/>
    <w:pPr>
      <w:spacing w:after="120" w:line="480" w:lineRule="auto"/>
    </w:pPr>
  </w:style>
  <w:style w:type="paragraph" w:styleId="2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4">
    <w:name w:val="Body Text First Indent 2"/>
    <w:basedOn w:val="12"/>
    <w:next w:val="8"/>
    <w:qFormat/>
    <w:uiPriority w:val="0"/>
    <w:pPr>
      <w:ind w:firstLine="420" w:firstLineChars="200"/>
    </w:pPr>
  </w:style>
  <w:style w:type="table" w:styleId="26">
    <w:name w:val="Table Grid"/>
    <w:basedOn w:val="2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paragraph" w:customStyle="1" w:styleId="30">
    <w:name w:val="正文格式"/>
    <w:basedOn w:val="31"/>
    <w:qFormat/>
    <w:uiPriority w:val="0"/>
    <w:pPr>
      <w:widowControl/>
      <w:adjustRightInd w:val="0"/>
      <w:snapToGrid w:val="0"/>
      <w:spacing w:line="400" w:lineRule="atLeast"/>
      <w:ind w:firstLine="482"/>
      <w:textAlignment w:val="baseline"/>
    </w:pPr>
    <w:rPr>
      <w:kern w:val="0"/>
      <w:sz w:val="24"/>
    </w:rPr>
  </w:style>
  <w:style w:type="paragraph" w:customStyle="1" w:styleId="31">
    <w:name w:val="正文11"/>
    <w:next w:val="30"/>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32">
    <w:name w:val="列出段落1"/>
    <w:basedOn w:val="1"/>
    <w:qFormat/>
    <w:uiPriority w:val="0"/>
    <w:pPr>
      <w:ind w:firstLine="420" w:firstLineChars="200"/>
    </w:pPr>
    <w:rPr>
      <w:szCs w:val="21"/>
    </w:rPr>
  </w:style>
  <w:style w:type="character" w:customStyle="1" w:styleId="33">
    <w:name w:val="NormalCharacter"/>
    <w:qFormat/>
    <w:uiPriority w:val="0"/>
  </w:style>
  <w:style w:type="paragraph" w:customStyle="1" w:styleId="34">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p0"/>
    <w:basedOn w:val="1"/>
    <w:qFormat/>
    <w:uiPriority w:val="0"/>
    <w:pPr>
      <w:widowControl/>
    </w:pPr>
    <w:rPr>
      <w:szCs w:val="21"/>
    </w:rPr>
  </w:style>
  <w:style w:type="paragraph" w:styleId="3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11622</Words>
  <Characters>12304</Characters>
  <Lines>0</Lines>
  <Paragraphs>0</Paragraphs>
  <TotalTime>3</TotalTime>
  <ScaleCrop>false</ScaleCrop>
  <LinksUpToDate>false</LinksUpToDate>
  <CharactersWithSpaces>12697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2022-09-25T06:30:00Z</dcterms:created>
  <dc:creator>HiWin10</dc:creator>
  <cp:lastModifiedBy>李刚</cp:lastModifiedBy>
  <cp:lastPrinted>2025-05-24T04:07:00Z</cp:lastPrinted>
  <dcterms:modified xsi:type="dcterms:W3CDTF">2025-05-27T08:15:33Z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7F2996707ABE446B899308BFC41A8AF3</vt:lpwstr>
  </property>
  <property fmtid="{D5CDD505-2E9C-101B-9397-08002B2CF9AE}" pid="4" name="KSOTemplateDocerSaveRecord">
    <vt:lpwstr>eyJoZGlkIjoiODRjNjI1ZjRjMjI3MzVkZWZhMjg4YjMwNmE2N2MzYTIiLCJ1c2VySWQiOiI5OTkyMDYzMDcifQ==</vt:lpwstr>
  </property>
</Properties>
</file>